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1A87" w14:textId="4603EEDE" w:rsidR="00BC7B06" w:rsidRDefault="00BC7B06">
      <w:pPr>
        <w:pStyle w:val="Heading1"/>
        <w:spacing w:before="360" w:after="80"/>
        <w:jc w:val="both"/>
        <w:rPr>
          <w:sz w:val="40"/>
          <w:szCs w:val="40"/>
        </w:rPr>
      </w:pPr>
    </w:p>
    <w:p w14:paraId="0BB91A88" w14:textId="77777777" w:rsidR="00BC7B06" w:rsidRDefault="00BC7B06">
      <w:pPr>
        <w:pStyle w:val="Heading1"/>
        <w:spacing w:before="360" w:after="80"/>
        <w:jc w:val="both"/>
        <w:rPr>
          <w:rFonts w:ascii="Aptos Display" w:eastAsia="Aptos Display" w:hAnsi="Aptos Display" w:cs="Aptos Display"/>
          <w:b w:val="0"/>
          <w:bCs w:val="0"/>
          <w:color w:val="0F4761"/>
          <w:sz w:val="40"/>
          <w:szCs w:val="40"/>
        </w:rPr>
      </w:pPr>
    </w:p>
    <w:p w14:paraId="0BB91A89" w14:textId="77777777" w:rsidR="00BC7B06" w:rsidRDefault="00BC7B06">
      <w:pPr>
        <w:pStyle w:val="Heading1"/>
        <w:spacing w:before="360" w:after="80"/>
        <w:jc w:val="both"/>
        <w:rPr>
          <w:rFonts w:ascii="Aptos Display" w:eastAsia="Aptos Display" w:hAnsi="Aptos Display" w:cs="Aptos Display"/>
          <w:b w:val="0"/>
          <w:bCs w:val="0"/>
          <w:color w:val="0F4761"/>
          <w:sz w:val="40"/>
          <w:szCs w:val="40"/>
        </w:rPr>
      </w:pPr>
    </w:p>
    <w:p w14:paraId="0BB91A8A" w14:textId="77777777" w:rsidR="00BC7B06" w:rsidRDefault="00BC7B06">
      <w:pPr>
        <w:pStyle w:val="Heading1"/>
        <w:spacing w:before="360" w:after="80"/>
        <w:jc w:val="both"/>
        <w:rPr>
          <w:rFonts w:ascii="Arial" w:eastAsia="Arial" w:hAnsi="Arial" w:cs="Arial"/>
          <w:color w:val="0F4761"/>
        </w:rPr>
      </w:pPr>
    </w:p>
    <w:p w14:paraId="0BB91A8B" w14:textId="77777777" w:rsidR="00BC7B06" w:rsidRDefault="006821BF">
      <w:pPr>
        <w:pStyle w:val="Heading1"/>
        <w:spacing w:before="360" w:after="80"/>
        <w:jc w:val="both"/>
      </w:pPr>
      <w:r>
        <w:rPr>
          <w:rFonts w:ascii="Arial" w:eastAsia="Arial" w:hAnsi="Arial" w:cs="Arial"/>
          <w:color w:val="0F4761"/>
        </w:rPr>
        <w:t>Cost of Distribution Study: an economic assessment of the impact of increased road freight taxes on consumer prices</w:t>
      </w:r>
    </w:p>
    <w:p w14:paraId="0BB91A8C" w14:textId="77777777" w:rsidR="00BC7B06" w:rsidRDefault="00BC7B06">
      <w:pPr>
        <w:spacing w:after="160"/>
        <w:jc w:val="both"/>
        <w:rPr>
          <w:rFonts w:ascii="Arial" w:eastAsia="Arial" w:hAnsi="Arial" w:cs="Arial"/>
        </w:rPr>
      </w:pPr>
    </w:p>
    <w:p w14:paraId="0BB91A8D" w14:textId="77777777" w:rsidR="00BC7B06" w:rsidRDefault="00BC7B06">
      <w:pPr>
        <w:spacing w:after="160"/>
        <w:jc w:val="both"/>
        <w:rPr>
          <w:rFonts w:ascii="Arial" w:eastAsia="Arial" w:hAnsi="Arial" w:cs="Arial"/>
        </w:rPr>
      </w:pPr>
    </w:p>
    <w:p w14:paraId="0BB91A8E" w14:textId="77777777" w:rsidR="00BC7B06" w:rsidRDefault="00BC7B06">
      <w:pPr>
        <w:spacing w:after="160"/>
        <w:jc w:val="both"/>
        <w:rPr>
          <w:rFonts w:ascii="Arial" w:eastAsia="Arial" w:hAnsi="Arial" w:cs="Arial"/>
          <w:sz w:val="32"/>
          <w:szCs w:val="32"/>
        </w:rPr>
      </w:pPr>
    </w:p>
    <w:p w14:paraId="0BB91A8F" w14:textId="77777777" w:rsidR="00BC7B06" w:rsidRDefault="006821BF">
      <w:pPr>
        <w:pStyle w:val="Heading2"/>
        <w:spacing w:before="160" w:after="80"/>
        <w:jc w:val="center"/>
        <w:rPr>
          <w:sz w:val="40"/>
          <w:szCs w:val="40"/>
        </w:rPr>
      </w:pPr>
      <w:r>
        <w:rPr>
          <w:rFonts w:ascii="Arial" w:eastAsia="Arial" w:hAnsi="Arial" w:cs="Arial"/>
          <w:color w:val="0F4761"/>
          <w:sz w:val="40"/>
          <w:szCs w:val="40"/>
        </w:rPr>
        <w:t>A Full Circle Economics (FCE) Report</w:t>
      </w:r>
    </w:p>
    <w:p w14:paraId="0BB91A90" w14:textId="77777777" w:rsidR="00BC7B06" w:rsidRDefault="00BC7B06">
      <w:pPr>
        <w:spacing w:after="160"/>
        <w:jc w:val="both"/>
        <w:rPr>
          <w:rFonts w:ascii="Arial" w:eastAsia="Arial" w:hAnsi="Arial" w:cs="Arial"/>
        </w:rPr>
      </w:pPr>
    </w:p>
    <w:p w14:paraId="0BB91A91" w14:textId="77777777" w:rsidR="00BC7B06" w:rsidRDefault="00BC7B06">
      <w:pPr>
        <w:spacing w:after="160"/>
        <w:jc w:val="both"/>
        <w:rPr>
          <w:rFonts w:ascii="Arial" w:eastAsia="Arial" w:hAnsi="Arial" w:cs="Arial"/>
        </w:rPr>
      </w:pPr>
    </w:p>
    <w:p w14:paraId="0BB91A92" w14:textId="77777777" w:rsidR="00BC7B06" w:rsidRDefault="00BC7B06">
      <w:pPr>
        <w:spacing w:after="160"/>
        <w:jc w:val="both"/>
        <w:rPr>
          <w:b/>
          <w:bCs/>
        </w:rPr>
      </w:pPr>
    </w:p>
    <w:p w14:paraId="0BB91A93" w14:textId="77777777" w:rsidR="00BC7B06" w:rsidRDefault="00BC7B06">
      <w:pPr>
        <w:spacing w:after="160"/>
        <w:jc w:val="both"/>
        <w:rPr>
          <w:b/>
          <w:bCs/>
        </w:rPr>
      </w:pPr>
    </w:p>
    <w:p w14:paraId="0BB91A94" w14:textId="77777777" w:rsidR="00BC7B06" w:rsidRDefault="00BC7B06">
      <w:pPr>
        <w:spacing w:after="160"/>
        <w:jc w:val="both"/>
        <w:rPr>
          <w:b/>
          <w:bCs/>
        </w:rPr>
      </w:pPr>
    </w:p>
    <w:p w14:paraId="0BB91A95" w14:textId="77777777" w:rsidR="00BC7B06" w:rsidRDefault="00BC7B06">
      <w:pPr>
        <w:spacing w:after="160"/>
        <w:jc w:val="both"/>
        <w:rPr>
          <w:b/>
          <w:bCs/>
        </w:rPr>
      </w:pPr>
    </w:p>
    <w:p w14:paraId="0BB91A96" w14:textId="77777777" w:rsidR="00BC7B06" w:rsidRDefault="00BC7B06">
      <w:pPr>
        <w:spacing w:after="160"/>
        <w:jc w:val="both"/>
        <w:rPr>
          <w:b/>
          <w:bCs/>
        </w:rPr>
      </w:pPr>
    </w:p>
    <w:p w14:paraId="0BB91A97" w14:textId="77777777" w:rsidR="00BC7B06" w:rsidRDefault="00BC7B06">
      <w:pPr>
        <w:spacing w:after="160"/>
        <w:jc w:val="both"/>
        <w:rPr>
          <w:b/>
          <w:bCs/>
        </w:rPr>
      </w:pPr>
    </w:p>
    <w:p w14:paraId="0BB91A98" w14:textId="77777777" w:rsidR="00BC7B06" w:rsidRDefault="00BC7B06">
      <w:pPr>
        <w:spacing w:after="160"/>
        <w:jc w:val="both"/>
        <w:rPr>
          <w:b/>
          <w:bCs/>
        </w:rPr>
      </w:pPr>
    </w:p>
    <w:p w14:paraId="0BB91A99" w14:textId="77777777" w:rsidR="00BC7B06" w:rsidRDefault="00BC7B06">
      <w:pPr>
        <w:spacing w:after="160"/>
        <w:jc w:val="both"/>
        <w:rPr>
          <w:b/>
          <w:bCs/>
        </w:rPr>
      </w:pPr>
    </w:p>
    <w:p w14:paraId="0BB91A9A" w14:textId="77777777" w:rsidR="00BC7B06" w:rsidRDefault="00BC7B06">
      <w:pPr>
        <w:spacing w:after="160"/>
        <w:jc w:val="both"/>
        <w:rPr>
          <w:b/>
          <w:bCs/>
          <w:sz w:val="40"/>
          <w:szCs w:val="40"/>
        </w:rPr>
      </w:pPr>
    </w:p>
    <w:p w14:paraId="0BB91A9B" w14:textId="77777777" w:rsidR="00BC7B06" w:rsidRDefault="006821BF">
      <w:pPr>
        <w:pStyle w:val="Heading2"/>
        <w:spacing w:before="160" w:after="80"/>
        <w:jc w:val="both"/>
        <w:rPr>
          <w:sz w:val="32"/>
          <w:szCs w:val="32"/>
        </w:rPr>
      </w:pPr>
      <w:r>
        <w:rPr>
          <w:rFonts w:ascii="Aptos Display" w:eastAsia="Aptos Display" w:hAnsi="Aptos Display" w:cs="Aptos Display"/>
          <w:b w:val="0"/>
          <w:bCs w:val="0"/>
          <w:color w:val="0F4761"/>
          <w:sz w:val="32"/>
          <w:szCs w:val="32"/>
        </w:rPr>
        <w:lastRenderedPageBreak/>
        <w:t>Executive Summary</w:t>
      </w:r>
    </w:p>
    <w:p w14:paraId="0BB91A9C" w14:textId="4587CC6D" w:rsidR="00BC7B06" w:rsidRDefault="006821BF">
      <w:pPr>
        <w:spacing w:after="160"/>
        <w:jc w:val="both"/>
      </w:pPr>
      <w:r>
        <w:rPr>
          <w:rFonts w:ascii="Arial" w:eastAsia="Arial" w:hAnsi="Arial" w:cs="Arial"/>
        </w:rPr>
        <w:t xml:space="preserve">An increase in fuel duty is a potential </w:t>
      </w:r>
      <w:r>
        <w:rPr>
          <w:rFonts w:ascii="Arial" w:eastAsia="Arial" w:hAnsi="Arial" w:cs="Arial"/>
        </w:rPr>
        <w:t xml:space="preserve">policy that may </w:t>
      </w:r>
      <w:proofErr w:type="gramStart"/>
      <w:r>
        <w:rPr>
          <w:rFonts w:ascii="Arial" w:eastAsia="Arial" w:hAnsi="Arial" w:cs="Arial"/>
        </w:rPr>
        <w:t>be implemented</w:t>
      </w:r>
      <w:proofErr w:type="gramEnd"/>
      <w:r>
        <w:rPr>
          <w:rFonts w:ascii="Arial" w:eastAsia="Arial" w:hAnsi="Arial" w:cs="Arial"/>
        </w:rPr>
        <w:t xml:space="preserve"> in the upcoming budget. The potential impacts on consumer prices include both direct increases to fuel </w:t>
      </w:r>
      <w:r>
        <w:rPr>
          <w:rFonts w:ascii="Arial" w:eastAsia="Arial" w:hAnsi="Arial" w:cs="Arial"/>
        </w:rPr>
        <w:t>prices, but also further price rises caused by higher supply chain costs rising throughout the economy, as road freight companies pass on the higher fuel costs they face</w:t>
      </w:r>
      <w:proofErr w:type="gramStart"/>
      <w:r>
        <w:rPr>
          <w:rFonts w:ascii="Arial" w:eastAsia="Arial" w:hAnsi="Arial" w:cs="Arial"/>
        </w:rPr>
        <w:t xml:space="preserve">.  </w:t>
      </w:r>
      <w:proofErr w:type="gramEnd"/>
    </w:p>
    <w:p w14:paraId="0BB91A9D" w14:textId="77777777" w:rsidR="00BC7B06" w:rsidRDefault="006821BF">
      <w:pPr>
        <w:spacing w:after="160"/>
        <w:jc w:val="both"/>
      </w:pPr>
      <w:proofErr w:type="gramStart"/>
      <w:r>
        <w:rPr>
          <w:rFonts w:ascii="Arial" w:eastAsia="Arial" w:hAnsi="Arial" w:cs="Arial"/>
        </w:rPr>
        <w:t>The majority of</w:t>
      </w:r>
      <w:proofErr w:type="gramEnd"/>
      <w:r>
        <w:rPr>
          <w:rFonts w:ascii="Arial" w:eastAsia="Arial" w:hAnsi="Arial" w:cs="Arial"/>
        </w:rPr>
        <w:t xml:space="preserve"> final consumer price impacts will </w:t>
      </w:r>
      <w:proofErr w:type="gramStart"/>
      <w:r>
        <w:rPr>
          <w:rFonts w:ascii="Arial" w:eastAsia="Arial" w:hAnsi="Arial" w:cs="Arial"/>
        </w:rPr>
        <w:t>be felt</w:t>
      </w:r>
      <w:proofErr w:type="gramEnd"/>
      <w:r>
        <w:rPr>
          <w:rFonts w:ascii="Arial" w:eastAsia="Arial" w:hAnsi="Arial" w:cs="Arial"/>
        </w:rPr>
        <w:t xml:space="preserve"> through higher petrol prices directly faced by the households. However, there are significant impacts felt through both higher food and drinks prices </w:t>
      </w:r>
      <w:proofErr w:type="gramStart"/>
      <w:r>
        <w:rPr>
          <w:rFonts w:ascii="Arial" w:eastAsia="Arial" w:hAnsi="Arial" w:cs="Arial"/>
        </w:rPr>
        <w:t>and also</w:t>
      </w:r>
      <w:proofErr w:type="gramEnd"/>
      <w:r>
        <w:rPr>
          <w:rFonts w:ascii="Arial" w:eastAsia="Arial" w:hAnsi="Arial" w:cs="Arial"/>
        </w:rPr>
        <w:t xml:space="preserve"> higher household energy costs. </w:t>
      </w:r>
    </w:p>
    <w:p w14:paraId="0BB91A9E" w14:textId="05BA5016" w:rsidR="00BC7B06" w:rsidRDefault="006821BF">
      <w:pPr>
        <w:spacing w:after="160"/>
        <w:jc w:val="both"/>
      </w:pPr>
      <w:r>
        <w:rPr>
          <w:rFonts w:ascii="Arial" w:eastAsia="Arial" w:hAnsi="Arial" w:cs="Arial"/>
        </w:rPr>
        <w:t xml:space="preserve">A specialised methodology has </w:t>
      </w:r>
      <w:proofErr w:type="gramStart"/>
      <w:r>
        <w:rPr>
          <w:rFonts w:ascii="Arial" w:eastAsia="Arial" w:hAnsi="Arial" w:cs="Arial"/>
        </w:rPr>
        <w:t>been developed</w:t>
      </w:r>
      <w:proofErr w:type="gramEnd"/>
      <w:r>
        <w:rPr>
          <w:rFonts w:ascii="Arial" w:eastAsia="Arial" w:hAnsi="Arial" w:cs="Arial"/>
        </w:rPr>
        <w:t xml:space="preserve"> to assess the overall impacts whilst providing a decomposition of how the impacts </w:t>
      </w:r>
      <w:proofErr w:type="gramStart"/>
      <w:r>
        <w:rPr>
          <w:rFonts w:ascii="Arial" w:eastAsia="Arial" w:hAnsi="Arial" w:cs="Arial"/>
        </w:rPr>
        <w:t>are broken</w:t>
      </w:r>
      <w:proofErr w:type="gramEnd"/>
      <w:r>
        <w:rPr>
          <w:rFonts w:ascii="Arial" w:eastAsia="Arial" w:hAnsi="Arial" w:cs="Arial"/>
        </w:rPr>
        <w:t xml:space="preserve"> down by household expenditure groups </w:t>
      </w:r>
      <w:proofErr w:type="gramStart"/>
      <w:r>
        <w:rPr>
          <w:rFonts w:ascii="Arial" w:eastAsia="Arial" w:hAnsi="Arial" w:cs="Arial"/>
        </w:rPr>
        <w:t>and also</w:t>
      </w:r>
      <w:proofErr w:type="gramEnd"/>
      <w:r>
        <w:rPr>
          <w:rFonts w:ascii="Arial" w:eastAsia="Arial" w:hAnsi="Arial" w:cs="Arial"/>
        </w:rPr>
        <w:t xml:space="preserve"> different household income deciles. This provides a methodology that can </w:t>
      </w:r>
      <w:proofErr w:type="gramStart"/>
      <w:r>
        <w:rPr>
          <w:rFonts w:ascii="Arial" w:eastAsia="Arial" w:hAnsi="Arial" w:cs="Arial"/>
        </w:rPr>
        <w:t>be used</w:t>
      </w:r>
      <w:proofErr w:type="gramEnd"/>
      <w:r>
        <w:rPr>
          <w:rFonts w:ascii="Arial" w:eastAsia="Arial" w:hAnsi="Arial" w:cs="Arial"/>
        </w:rPr>
        <w:t xml:space="preserve"> </w:t>
      </w:r>
      <w:r>
        <w:rPr>
          <w:rFonts w:ascii="Arial" w:eastAsia="Arial" w:hAnsi="Arial" w:cs="Arial"/>
        </w:rPr>
        <w:t xml:space="preserve">for future analysis. </w:t>
      </w:r>
    </w:p>
    <w:p w14:paraId="0BB91A9F" w14:textId="4558AEB9" w:rsidR="00BC7B06" w:rsidRDefault="006821BF">
      <w:pPr>
        <w:spacing w:after="160"/>
        <w:jc w:val="both"/>
      </w:pPr>
      <w:r>
        <w:rPr>
          <w:rFonts w:ascii="Arial" w:eastAsia="Arial" w:hAnsi="Arial" w:cs="Arial"/>
          <w:b/>
          <w:bCs/>
          <w:u w:val="single"/>
        </w:rPr>
        <w:t xml:space="preserve">The key results found are that a 5p fuel duty increase </w:t>
      </w:r>
      <w:proofErr w:type="gramStart"/>
      <w:r>
        <w:rPr>
          <w:rFonts w:ascii="Arial" w:eastAsia="Arial" w:hAnsi="Arial" w:cs="Arial"/>
          <w:b/>
          <w:bCs/>
          <w:u w:val="single"/>
        </w:rPr>
        <w:t>is estimated</w:t>
      </w:r>
      <w:proofErr w:type="gramEnd"/>
      <w:r>
        <w:rPr>
          <w:rFonts w:ascii="Arial" w:eastAsia="Arial" w:hAnsi="Arial" w:cs="Arial"/>
          <w:b/>
          <w:bCs/>
          <w:u w:val="single"/>
        </w:rPr>
        <w:t xml:space="preserve"> to increase overall consumer prices by 0.3% and increase overall annual household living costs by about £2bn. This equates to about £7.3bn over the course of the rest of the parliament. </w:t>
      </w:r>
    </w:p>
    <w:p w14:paraId="0BB91AA0" w14:textId="77777777" w:rsidR="00BC7B06" w:rsidRDefault="00BC7B06">
      <w:pPr>
        <w:spacing w:after="160"/>
        <w:jc w:val="both"/>
        <w:rPr>
          <w:rFonts w:ascii="Arial" w:eastAsia="Arial" w:hAnsi="Arial" w:cs="Arial"/>
          <w:b/>
          <w:bCs/>
        </w:rPr>
      </w:pPr>
    </w:p>
    <w:p w14:paraId="0C691D09" w14:textId="77777777" w:rsidR="00694AB5" w:rsidRDefault="00694AB5">
      <w:pPr>
        <w:spacing w:after="160"/>
        <w:jc w:val="both"/>
        <w:rPr>
          <w:rFonts w:ascii="Arial" w:eastAsia="Arial" w:hAnsi="Arial" w:cs="Arial"/>
          <w:b/>
          <w:bCs/>
        </w:rPr>
      </w:pPr>
    </w:p>
    <w:p w14:paraId="02BA1E04" w14:textId="77777777" w:rsidR="00694AB5" w:rsidRDefault="00694AB5">
      <w:pPr>
        <w:spacing w:after="160"/>
        <w:jc w:val="both"/>
        <w:rPr>
          <w:rFonts w:ascii="Arial" w:eastAsia="Arial" w:hAnsi="Arial" w:cs="Arial"/>
          <w:b/>
          <w:bCs/>
        </w:rPr>
      </w:pPr>
    </w:p>
    <w:p w14:paraId="5885EFC3" w14:textId="77777777" w:rsidR="00694AB5" w:rsidRDefault="00694AB5">
      <w:pPr>
        <w:spacing w:after="160"/>
        <w:jc w:val="both"/>
        <w:rPr>
          <w:rFonts w:ascii="Arial" w:eastAsia="Arial" w:hAnsi="Arial" w:cs="Arial"/>
          <w:b/>
          <w:bCs/>
        </w:rPr>
      </w:pPr>
    </w:p>
    <w:p w14:paraId="6BBCD59F" w14:textId="77777777" w:rsidR="00694AB5" w:rsidRDefault="00694AB5">
      <w:pPr>
        <w:spacing w:after="160"/>
        <w:jc w:val="both"/>
        <w:rPr>
          <w:rFonts w:ascii="Arial" w:eastAsia="Arial" w:hAnsi="Arial" w:cs="Arial"/>
          <w:b/>
          <w:bCs/>
        </w:rPr>
      </w:pPr>
    </w:p>
    <w:p w14:paraId="591B487A" w14:textId="77777777" w:rsidR="00694AB5" w:rsidRDefault="00694AB5">
      <w:pPr>
        <w:spacing w:after="160"/>
        <w:jc w:val="both"/>
        <w:rPr>
          <w:rFonts w:ascii="Arial" w:eastAsia="Arial" w:hAnsi="Arial" w:cs="Arial"/>
          <w:b/>
          <w:bCs/>
        </w:rPr>
      </w:pPr>
    </w:p>
    <w:p w14:paraId="6AA24ECB" w14:textId="77777777" w:rsidR="00694AB5" w:rsidRDefault="00694AB5">
      <w:pPr>
        <w:spacing w:after="160"/>
        <w:jc w:val="both"/>
        <w:rPr>
          <w:rFonts w:ascii="Arial" w:eastAsia="Arial" w:hAnsi="Arial" w:cs="Arial"/>
          <w:b/>
          <w:bCs/>
        </w:rPr>
      </w:pPr>
    </w:p>
    <w:p w14:paraId="26CAE7E5" w14:textId="77777777" w:rsidR="00694AB5" w:rsidRDefault="00694AB5">
      <w:pPr>
        <w:spacing w:after="160"/>
        <w:jc w:val="both"/>
        <w:rPr>
          <w:rFonts w:ascii="Arial" w:eastAsia="Arial" w:hAnsi="Arial" w:cs="Arial"/>
          <w:b/>
          <w:bCs/>
        </w:rPr>
      </w:pPr>
    </w:p>
    <w:p w14:paraId="1656039E" w14:textId="77777777" w:rsidR="00694AB5" w:rsidRDefault="00694AB5">
      <w:pPr>
        <w:spacing w:after="160"/>
        <w:jc w:val="both"/>
        <w:rPr>
          <w:rFonts w:ascii="Arial" w:eastAsia="Arial" w:hAnsi="Arial" w:cs="Arial"/>
          <w:b/>
          <w:bCs/>
        </w:rPr>
      </w:pPr>
    </w:p>
    <w:p w14:paraId="23846823" w14:textId="77777777" w:rsidR="00694AB5" w:rsidRDefault="00694AB5">
      <w:pPr>
        <w:spacing w:after="160"/>
        <w:jc w:val="both"/>
        <w:rPr>
          <w:rFonts w:ascii="Arial" w:eastAsia="Arial" w:hAnsi="Arial" w:cs="Arial"/>
          <w:b/>
          <w:bCs/>
        </w:rPr>
      </w:pPr>
    </w:p>
    <w:p w14:paraId="585F2328" w14:textId="77777777" w:rsidR="00694AB5" w:rsidRDefault="00694AB5">
      <w:pPr>
        <w:spacing w:after="160"/>
        <w:jc w:val="both"/>
        <w:rPr>
          <w:rFonts w:ascii="Arial" w:eastAsia="Arial" w:hAnsi="Arial" w:cs="Arial"/>
          <w:b/>
          <w:bCs/>
        </w:rPr>
      </w:pPr>
    </w:p>
    <w:p w14:paraId="7E1C0CAC" w14:textId="77777777" w:rsidR="00694AB5" w:rsidRDefault="00694AB5">
      <w:pPr>
        <w:spacing w:after="160"/>
        <w:jc w:val="both"/>
        <w:rPr>
          <w:rFonts w:ascii="Arial" w:eastAsia="Arial" w:hAnsi="Arial" w:cs="Arial"/>
          <w:b/>
          <w:bCs/>
        </w:rPr>
      </w:pPr>
    </w:p>
    <w:p w14:paraId="68AA72DA" w14:textId="77777777" w:rsidR="00694AB5" w:rsidRDefault="00694AB5">
      <w:pPr>
        <w:spacing w:after="160"/>
        <w:jc w:val="both"/>
        <w:rPr>
          <w:rFonts w:ascii="Arial" w:eastAsia="Arial" w:hAnsi="Arial" w:cs="Arial"/>
          <w:b/>
          <w:bCs/>
        </w:rPr>
      </w:pPr>
    </w:p>
    <w:p w14:paraId="5174F9DC" w14:textId="77777777" w:rsidR="00694AB5" w:rsidRDefault="00694AB5">
      <w:pPr>
        <w:spacing w:after="160"/>
        <w:jc w:val="both"/>
        <w:rPr>
          <w:rFonts w:ascii="Arial" w:eastAsia="Arial" w:hAnsi="Arial" w:cs="Arial"/>
          <w:b/>
          <w:bCs/>
        </w:rPr>
      </w:pPr>
    </w:p>
    <w:p w14:paraId="5F9E3738" w14:textId="77777777" w:rsidR="00694AB5" w:rsidRDefault="00694AB5">
      <w:pPr>
        <w:spacing w:after="160"/>
        <w:jc w:val="both"/>
        <w:rPr>
          <w:rFonts w:ascii="Arial" w:eastAsia="Arial" w:hAnsi="Arial" w:cs="Arial"/>
          <w:b/>
          <w:bCs/>
        </w:rPr>
      </w:pPr>
    </w:p>
    <w:p w14:paraId="44A841E0" w14:textId="77777777" w:rsidR="00694AB5" w:rsidRDefault="00694AB5">
      <w:pPr>
        <w:spacing w:after="160"/>
        <w:jc w:val="both"/>
        <w:rPr>
          <w:rFonts w:ascii="Arial" w:eastAsia="Arial" w:hAnsi="Arial" w:cs="Arial"/>
          <w:b/>
          <w:bCs/>
        </w:rPr>
      </w:pPr>
    </w:p>
    <w:p w14:paraId="0BB91AA1" w14:textId="77777777" w:rsidR="00BC7B06" w:rsidRDefault="006821BF">
      <w:pPr>
        <w:pStyle w:val="Heading2"/>
        <w:spacing w:before="160" w:after="80"/>
        <w:jc w:val="both"/>
        <w:rPr>
          <w:sz w:val="32"/>
          <w:szCs w:val="32"/>
        </w:rPr>
      </w:pPr>
      <w:r>
        <w:rPr>
          <w:rFonts w:ascii="Aptos Display" w:eastAsia="Aptos Display" w:hAnsi="Aptos Display" w:cs="Aptos Display"/>
          <w:b w:val="0"/>
          <w:bCs w:val="0"/>
          <w:color w:val="0F4761"/>
          <w:sz w:val="32"/>
          <w:szCs w:val="32"/>
        </w:rPr>
        <w:lastRenderedPageBreak/>
        <w:t>Taxes to be analysed</w:t>
      </w:r>
    </w:p>
    <w:p w14:paraId="0BB91AA2" w14:textId="77777777" w:rsidR="00BC7B06" w:rsidRDefault="006821BF">
      <w:pPr>
        <w:spacing w:after="160"/>
        <w:jc w:val="both"/>
      </w:pPr>
      <w:r>
        <w:rPr>
          <w:rFonts w:ascii="Arial" w:eastAsia="Arial" w:hAnsi="Arial" w:cs="Arial"/>
        </w:rPr>
        <w:t>The taxes assessed, in terms of potential prices rises are:</w:t>
      </w:r>
    </w:p>
    <w:p w14:paraId="0BB91AA3" w14:textId="77777777" w:rsidR="00BC7B06" w:rsidRDefault="006821BF">
      <w:pPr>
        <w:spacing w:after="160"/>
        <w:jc w:val="both"/>
      </w:pPr>
      <w:r>
        <w:rPr>
          <w:rFonts w:ascii="Arial" w:eastAsia="Arial" w:hAnsi="Arial" w:cs="Arial"/>
          <w:i/>
          <w:iCs/>
        </w:rPr>
        <w:t>Fuel Duty:</w:t>
      </w:r>
      <w:r>
        <w:rPr>
          <w:rFonts w:ascii="Arial" w:eastAsia="Arial" w:hAnsi="Arial" w:cs="Arial"/>
          <w:b/>
          <w:bCs/>
        </w:rPr>
        <w:t xml:space="preserve"> </w:t>
      </w:r>
      <w:r>
        <w:rPr>
          <w:rFonts w:ascii="Arial" w:eastAsia="Arial" w:hAnsi="Arial" w:cs="Arial"/>
        </w:rPr>
        <w:t xml:space="preserve">This consumption tax is an indirect form of taxation charged per litre at the point of sale. The current rate is 52.95p per litre for diesel (2024-25), which includes a temporary 5p cut. Fuel duty </w:t>
      </w:r>
      <w:proofErr w:type="gramStart"/>
      <w:r>
        <w:rPr>
          <w:rFonts w:ascii="Arial" w:eastAsia="Arial" w:hAnsi="Arial" w:cs="Arial"/>
        </w:rPr>
        <w:t>is levied</w:t>
      </w:r>
      <w:proofErr w:type="gramEnd"/>
      <w:r>
        <w:rPr>
          <w:rFonts w:ascii="Arial" w:eastAsia="Arial" w:hAnsi="Arial" w:cs="Arial"/>
        </w:rPr>
        <w:t xml:space="preserve"> per unit of fuel purchased and </w:t>
      </w:r>
      <w:proofErr w:type="gramStart"/>
      <w:r>
        <w:rPr>
          <w:rFonts w:ascii="Arial" w:eastAsia="Arial" w:hAnsi="Arial" w:cs="Arial"/>
        </w:rPr>
        <w:t>is included</w:t>
      </w:r>
      <w:proofErr w:type="gramEnd"/>
      <w:r>
        <w:rPr>
          <w:rFonts w:ascii="Arial" w:eastAsia="Arial" w:hAnsi="Arial" w:cs="Arial"/>
        </w:rPr>
        <w:t xml:space="preserve"> in the price paid for petrol, diesel and other fuels used in vehicles. The</w:t>
      </w:r>
      <w:r>
        <w:rPr>
          <w:rFonts w:ascii="Arial" w:eastAsia="Arial" w:hAnsi="Arial" w:cs="Arial"/>
          <w:color w:val="0B0C0C"/>
        </w:rPr>
        <w:t xml:space="preserve"> rate </w:t>
      </w:r>
      <w:r>
        <w:rPr>
          <w:rFonts w:ascii="Arial" w:eastAsia="Arial" w:hAnsi="Arial" w:cs="Arial"/>
        </w:rPr>
        <w:t>depends on the type of fuel. The pump price of a litre of petrol currently reflects the pre-tax price plus 52.95p for fuel duty plus 20 per cent VAT on the pre-tax price and a furth</w:t>
      </w:r>
      <w:r>
        <w:rPr>
          <w:rFonts w:ascii="Arial" w:eastAsia="Arial" w:hAnsi="Arial" w:cs="Arial"/>
        </w:rPr>
        <w:t>er 10.59p for VAT at 20 per cent on fuel duty.</w:t>
      </w:r>
      <w:r>
        <w:rPr>
          <w:rFonts w:ascii="Arial" w:eastAsia="Arial" w:hAnsi="Arial" w:cs="Arial"/>
          <w:color w:val="000000"/>
          <w:sz w:val="16"/>
          <w:szCs w:val="16"/>
          <w:vertAlign w:val="superscript"/>
        </w:rPr>
        <w:footnoteReference w:id="1"/>
      </w:r>
    </w:p>
    <w:p w14:paraId="0BB91AA4" w14:textId="77777777" w:rsidR="00BC7B06" w:rsidRDefault="006821BF">
      <w:pPr>
        <w:spacing w:after="160"/>
        <w:jc w:val="both"/>
      </w:pPr>
      <w:r>
        <w:rPr>
          <w:rFonts w:ascii="Arial" w:eastAsia="Arial" w:hAnsi="Arial" w:cs="Arial"/>
          <w:i/>
          <w:iCs/>
        </w:rPr>
        <w:t>Vehicle Excise Duty (VED):</w:t>
      </w:r>
      <w:r>
        <w:rPr>
          <w:rFonts w:ascii="Arial" w:eastAsia="Arial" w:hAnsi="Arial" w:cs="Arial"/>
        </w:rPr>
        <w:t xml:space="preserve"> This </w:t>
      </w:r>
      <w:r>
        <w:rPr>
          <w:rFonts w:ascii="Arial" w:eastAsia="Arial" w:hAnsi="Arial" w:cs="Arial"/>
          <w:shd w:val="clear" w:color="auto" w:fill="FFFFFF"/>
        </w:rPr>
        <w:t xml:space="preserve">is an annual tax paid by owners of vehicles. For instance, </w:t>
      </w:r>
      <w:r>
        <w:rPr>
          <w:rFonts w:ascii="Arial" w:eastAsia="Arial" w:hAnsi="Arial" w:cs="Arial"/>
        </w:rPr>
        <w:t xml:space="preserve">HGVs </w:t>
      </w:r>
      <w:proofErr w:type="gramStart"/>
      <w:r>
        <w:rPr>
          <w:rFonts w:ascii="Arial" w:eastAsia="Arial" w:hAnsi="Arial" w:cs="Arial"/>
        </w:rPr>
        <w:t>are placed</w:t>
      </w:r>
      <w:proofErr w:type="gramEnd"/>
      <w:r>
        <w:rPr>
          <w:rFonts w:ascii="Arial" w:eastAsia="Arial" w:hAnsi="Arial" w:cs="Arial"/>
        </w:rPr>
        <w:t xml:space="preserve"> in one of </w:t>
      </w:r>
      <w:proofErr w:type="gramStart"/>
      <w:r>
        <w:rPr>
          <w:rFonts w:ascii="Arial" w:eastAsia="Arial" w:hAnsi="Arial" w:cs="Arial"/>
        </w:rPr>
        <w:t>87</w:t>
      </w:r>
      <w:proofErr w:type="gramEnd"/>
      <w:r>
        <w:rPr>
          <w:rFonts w:ascii="Arial" w:eastAsia="Arial" w:hAnsi="Arial" w:cs="Arial"/>
        </w:rPr>
        <w:t xml:space="preserve"> different rates, ranging from £83 to £1,643 per year, depending on their structure, their weight, the number of axles, and the weight of the trailer.</w:t>
      </w:r>
    </w:p>
    <w:p w14:paraId="0BB91AA5" w14:textId="77777777" w:rsidR="00BC7B06" w:rsidRDefault="006821BF">
      <w:pPr>
        <w:spacing w:after="160"/>
        <w:jc w:val="both"/>
      </w:pPr>
      <w:r>
        <w:rPr>
          <w:rFonts w:ascii="Arial" w:eastAsia="Arial" w:hAnsi="Arial" w:cs="Arial"/>
          <w:i/>
          <w:iCs/>
        </w:rPr>
        <w:t>HGV road user levy:</w:t>
      </w:r>
      <w:r>
        <w:rPr>
          <w:rFonts w:ascii="Arial" w:eastAsia="Arial" w:hAnsi="Arial" w:cs="Arial"/>
          <w:b/>
          <w:bCs/>
        </w:rPr>
        <w:t xml:space="preserve"> </w:t>
      </w:r>
      <w:r>
        <w:rPr>
          <w:rFonts w:ascii="Arial" w:eastAsia="Arial" w:hAnsi="Arial" w:cs="Arial"/>
          <w:color w:val="0B0C0C"/>
        </w:rPr>
        <w:t xml:space="preserve">The HGV levy applies to heavy goods vehicles (HGVs) of 12,000kg or more. </w:t>
      </w:r>
    </w:p>
    <w:p w14:paraId="0BB91AA6" w14:textId="77777777" w:rsidR="00BC7B06" w:rsidRDefault="00BC7B06">
      <w:pPr>
        <w:spacing w:after="160"/>
        <w:jc w:val="both"/>
        <w:rPr>
          <w:rFonts w:ascii="Arial" w:eastAsia="Arial" w:hAnsi="Arial" w:cs="Arial"/>
          <w:color w:val="0B0C0C"/>
        </w:rPr>
      </w:pPr>
    </w:p>
    <w:p w14:paraId="0BB91AA7" w14:textId="77777777" w:rsidR="00BC7B06" w:rsidRDefault="006821BF">
      <w:pPr>
        <w:pStyle w:val="Heading2"/>
        <w:spacing w:before="160" w:after="80"/>
        <w:jc w:val="both"/>
        <w:rPr>
          <w:sz w:val="32"/>
          <w:szCs w:val="32"/>
        </w:rPr>
      </w:pPr>
      <w:r>
        <w:rPr>
          <w:rFonts w:ascii="Aptos Display" w:eastAsia="Aptos Display" w:hAnsi="Aptos Display" w:cs="Aptos Display"/>
          <w:b w:val="0"/>
          <w:bCs w:val="0"/>
          <w:color w:val="0F4761"/>
          <w:sz w:val="32"/>
          <w:szCs w:val="32"/>
        </w:rPr>
        <w:t>Methodology</w:t>
      </w:r>
    </w:p>
    <w:p w14:paraId="0BB91AA8" w14:textId="77777777" w:rsidR="00BC7B06" w:rsidRDefault="006821BF">
      <w:pPr>
        <w:spacing w:after="160"/>
        <w:jc w:val="both"/>
      </w:pPr>
      <w:r>
        <w:rPr>
          <w:rFonts w:ascii="Arial" w:eastAsia="Arial" w:hAnsi="Arial" w:cs="Arial"/>
        </w:rPr>
        <w:t xml:space="preserve">The methodology captures two key channels through which an increase in fuel duty and other road taxes feeds through to final consumer prices. </w:t>
      </w:r>
    </w:p>
    <w:p w14:paraId="0BB91AA9" w14:textId="77777777" w:rsidR="00BC7B06" w:rsidRDefault="006821BF">
      <w:pPr>
        <w:pStyle w:val="Heading2"/>
        <w:numPr>
          <w:ilvl w:val="0"/>
          <w:numId w:val="1"/>
        </w:numPr>
        <w:tabs>
          <w:tab w:val="left" w:pos="720"/>
        </w:tabs>
        <w:spacing w:before="160" w:after="80"/>
        <w:ind w:left="720" w:hanging="360"/>
        <w:jc w:val="both"/>
        <w:rPr>
          <w:rFonts w:ascii="Arial" w:eastAsia="Arial" w:hAnsi="Arial" w:cs="Arial"/>
          <w:b w:val="0"/>
          <w:bCs w:val="0"/>
          <w:i/>
          <w:iCs/>
          <w:sz w:val="24"/>
          <w:szCs w:val="24"/>
        </w:rPr>
      </w:pPr>
      <w:r>
        <w:rPr>
          <w:rFonts w:ascii="Arial" w:eastAsia="Arial" w:hAnsi="Arial" w:cs="Arial"/>
          <w:b w:val="0"/>
          <w:bCs w:val="0"/>
          <w:i/>
          <w:iCs/>
          <w:color w:val="auto"/>
          <w:sz w:val="24"/>
          <w:szCs w:val="24"/>
        </w:rPr>
        <w:t>Direct Impact on Fuel Prices</w:t>
      </w:r>
    </w:p>
    <w:p w14:paraId="0BB91AAA" w14:textId="77777777" w:rsidR="00BC7B06" w:rsidRDefault="006821BF">
      <w:pPr>
        <w:numPr>
          <w:ilvl w:val="0"/>
          <w:numId w:val="2"/>
        </w:numPr>
        <w:tabs>
          <w:tab w:val="left" w:pos="720"/>
        </w:tabs>
        <w:ind w:left="720" w:hanging="360"/>
        <w:jc w:val="both"/>
        <w:rPr>
          <w:rFonts w:ascii="Arial" w:eastAsia="Arial" w:hAnsi="Arial" w:cs="Arial"/>
        </w:rPr>
      </w:pPr>
      <w:r>
        <w:rPr>
          <w:rFonts w:ascii="Arial" w:eastAsia="Arial" w:hAnsi="Arial" w:cs="Arial"/>
        </w:rPr>
        <w:t xml:space="preserve">As fuel duty increases (and other road taxes) these feed through to higher petrol and diesel prices, assuming the duty </w:t>
      </w:r>
      <w:proofErr w:type="gramStart"/>
      <w:r>
        <w:rPr>
          <w:rFonts w:ascii="Arial" w:eastAsia="Arial" w:hAnsi="Arial" w:cs="Arial"/>
        </w:rPr>
        <w:t>is passed</w:t>
      </w:r>
      <w:proofErr w:type="gramEnd"/>
      <w:r>
        <w:rPr>
          <w:rFonts w:ascii="Arial" w:eastAsia="Arial" w:hAnsi="Arial" w:cs="Arial"/>
        </w:rPr>
        <w:t xml:space="preserve"> through to retail prices. </w:t>
      </w:r>
    </w:p>
    <w:p w14:paraId="0BB91AAB" w14:textId="77777777" w:rsidR="00BC7B06" w:rsidRDefault="006821BF">
      <w:pPr>
        <w:numPr>
          <w:ilvl w:val="0"/>
          <w:numId w:val="2"/>
        </w:numPr>
        <w:tabs>
          <w:tab w:val="left" w:pos="720"/>
        </w:tabs>
        <w:spacing w:after="160"/>
        <w:ind w:left="720" w:hanging="360"/>
        <w:jc w:val="both"/>
        <w:rPr>
          <w:rFonts w:ascii="Arial" w:eastAsia="Arial" w:hAnsi="Arial" w:cs="Arial"/>
        </w:rPr>
      </w:pPr>
      <w:r>
        <w:rPr>
          <w:rFonts w:ascii="Arial" w:eastAsia="Arial" w:hAnsi="Arial" w:cs="Arial"/>
        </w:rPr>
        <w:t xml:space="preserve">This </w:t>
      </w:r>
      <w:proofErr w:type="gramStart"/>
      <w:r>
        <w:rPr>
          <w:rFonts w:ascii="Arial" w:eastAsia="Arial" w:hAnsi="Arial" w:cs="Arial"/>
        </w:rPr>
        <w:t>is applied</w:t>
      </w:r>
      <w:proofErr w:type="gramEnd"/>
      <w:r>
        <w:rPr>
          <w:rFonts w:ascii="Arial" w:eastAsia="Arial" w:hAnsi="Arial" w:cs="Arial"/>
        </w:rPr>
        <w:t xml:space="preserve"> on top of the current average cost of a litre of fuel.</w:t>
      </w:r>
      <w:r>
        <w:rPr>
          <w:rFonts w:ascii="Arial" w:eastAsia="Arial" w:hAnsi="Arial" w:cs="Arial"/>
          <w:color w:val="000000"/>
          <w:sz w:val="16"/>
          <w:szCs w:val="16"/>
          <w:vertAlign w:val="superscript"/>
        </w:rPr>
        <w:footnoteReference w:id="2"/>
      </w:r>
    </w:p>
    <w:p w14:paraId="0BB91AAC" w14:textId="77777777" w:rsidR="00BC7B06" w:rsidRDefault="00BC7B06">
      <w:pPr>
        <w:spacing w:after="160"/>
        <w:jc w:val="both"/>
        <w:rPr>
          <w:rFonts w:ascii="Arial" w:eastAsia="Arial" w:hAnsi="Arial" w:cs="Arial"/>
        </w:rPr>
      </w:pPr>
    </w:p>
    <w:p w14:paraId="0BB91AAD" w14:textId="77777777" w:rsidR="00BC7B06" w:rsidRDefault="006821BF">
      <w:pPr>
        <w:pStyle w:val="Heading2"/>
        <w:numPr>
          <w:ilvl w:val="0"/>
          <w:numId w:val="1"/>
        </w:numPr>
        <w:tabs>
          <w:tab w:val="left" w:pos="720"/>
        </w:tabs>
        <w:spacing w:before="160" w:after="80"/>
        <w:ind w:left="720" w:hanging="360"/>
        <w:jc w:val="both"/>
        <w:rPr>
          <w:rFonts w:ascii="Arial" w:eastAsia="Arial" w:hAnsi="Arial" w:cs="Arial"/>
          <w:b w:val="0"/>
          <w:bCs w:val="0"/>
          <w:i/>
          <w:iCs/>
          <w:sz w:val="24"/>
          <w:szCs w:val="24"/>
        </w:rPr>
      </w:pPr>
      <w:r>
        <w:rPr>
          <w:rFonts w:ascii="Arial" w:eastAsia="Arial" w:hAnsi="Arial" w:cs="Arial"/>
          <w:b w:val="0"/>
          <w:bCs w:val="0"/>
          <w:i/>
          <w:iCs/>
          <w:color w:val="auto"/>
          <w:sz w:val="24"/>
          <w:szCs w:val="24"/>
        </w:rPr>
        <w:t>Indirect: Supply chain impacts</w:t>
      </w:r>
    </w:p>
    <w:p w14:paraId="0BB91AAE" w14:textId="77777777" w:rsidR="00BC7B06" w:rsidRDefault="006821BF">
      <w:pPr>
        <w:numPr>
          <w:ilvl w:val="0"/>
          <w:numId w:val="2"/>
        </w:numPr>
        <w:tabs>
          <w:tab w:val="left" w:pos="720"/>
        </w:tabs>
        <w:spacing w:before="240" w:after="120" w:line="240" w:lineRule="auto"/>
        <w:ind w:left="720" w:hanging="360"/>
        <w:rPr>
          <w:rFonts w:ascii="Arial" w:eastAsia="Arial" w:hAnsi="Arial" w:cs="Arial"/>
        </w:rPr>
      </w:pPr>
      <w:r>
        <w:rPr>
          <w:rFonts w:ascii="Arial" w:eastAsia="Arial" w:hAnsi="Arial" w:cs="Arial"/>
        </w:rPr>
        <w:t>Fuel is a major input for</w:t>
      </w:r>
      <w:r>
        <w:rPr>
          <w:rFonts w:ascii="Arial" w:eastAsia="Arial" w:hAnsi="Arial" w:cs="Arial"/>
          <w:b/>
          <w:bCs/>
        </w:rPr>
        <w:t> </w:t>
      </w:r>
      <w:r>
        <w:rPr>
          <w:rFonts w:ascii="Arial" w:eastAsia="Arial" w:hAnsi="Arial" w:cs="Arial"/>
        </w:rPr>
        <w:t>transport and distribution</w:t>
      </w:r>
      <w:r>
        <w:rPr>
          <w:rFonts w:ascii="Arial" w:eastAsia="Arial" w:hAnsi="Arial" w:cs="Arial"/>
          <w:b/>
          <w:bCs/>
        </w:rPr>
        <w:t>.</w:t>
      </w:r>
      <w:r>
        <w:rPr>
          <w:rFonts w:ascii="Arial" w:eastAsia="Arial" w:hAnsi="Arial" w:cs="Arial"/>
        </w:rPr>
        <w:t xml:space="preserve"> Fuel makes up about 20–25% of road haulage operating costs. These costs are likely to </w:t>
      </w:r>
      <w:proofErr w:type="gramStart"/>
      <w:r>
        <w:rPr>
          <w:rFonts w:ascii="Arial" w:eastAsia="Arial" w:hAnsi="Arial" w:cs="Arial"/>
        </w:rPr>
        <w:t>be passed</w:t>
      </w:r>
      <w:proofErr w:type="gramEnd"/>
      <w:r>
        <w:rPr>
          <w:rFonts w:ascii="Arial" w:eastAsia="Arial" w:hAnsi="Arial" w:cs="Arial"/>
        </w:rPr>
        <w:t xml:space="preserve"> on to businesses in the supply chain and then onto final customers. Higher fuel costs cascade into goods and services:</w:t>
      </w:r>
    </w:p>
    <w:p w14:paraId="0BB91AAF" w14:textId="77777777" w:rsidR="00BC7B06" w:rsidRDefault="006821BF">
      <w:pPr>
        <w:numPr>
          <w:ilvl w:val="1"/>
          <w:numId w:val="2"/>
        </w:numPr>
        <w:tabs>
          <w:tab w:val="left" w:pos="1440"/>
        </w:tabs>
        <w:spacing w:before="240" w:after="120" w:line="240" w:lineRule="auto"/>
        <w:ind w:left="1440" w:hanging="360"/>
        <w:jc w:val="both"/>
        <w:rPr>
          <w:rFonts w:ascii="Courier New" w:eastAsia="Courier New" w:hAnsi="Courier New" w:cs="Courier New"/>
        </w:rPr>
      </w:pPr>
      <w:r>
        <w:rPr>
          <w:rFonts w:ascii="Arial" w:eastAsia="Arial" w:hAnsi="Arial" w:cs="Arial"/>
        </w:rPr>
        <w:t xml:space="preserve">Food &amp; groceries: Supermarkets and supply chains face higher delivery costs. </w:t>
      </w:r>
    </w:p>
    <w:p w14:paraId="0BB91AB0" w14:textId="77777777" w:rsidR="00BC7B06" w:rsidRDefault="006821BF">
      <w:pPr>
        <w:numPr>
          <w:ilvl w:val="1"/>
          <w:numId w:val="2"/>
        </w:numPr>
        <w:tabs>
          <w:tab w:val="left" w:pos="1440"/>
        </w:tabs>
        <w:spacing w:before="240" w:after="120" w:line="240" w:lineRule="auto"/>
        <w:ind w:left="1440" w:hanging="360"/>
        <w:jc w:val="both"/>
        <w:rPr>
          <w:rFonts w:ascii="Courier New" w:eastAsia="Courier New" w:hAnsi="Courier New" w:cs="Courier New"/>
        </w:rPr>
      </w:pPr>
      <w:r>
        <w:rPr>
          <w:rFonts w:ascii="Arial" w:eastAsia="Arial" w:hAnsi="Arial" w:cs="Arial"/>
        </w:rPr>
        <w:t>Public transport: Bus and coach operators often pass on fuel costs, raising fares.</w:t>
      </w:r>
    </w:p>
    <w:p w14:paraId="0BB91AB1" w14:textId="77777777" w:rsidR="00BC7B06" w:rsidRDefault="006821BF">
      <w:pPr>
        <w:numPr>
          <w:ilvl w:val="1"/>
          <w:numId w:val="2"/>
        </w:numPr>
        <w:tabs>
          <w:tab w:val="left" w:pos="1440"/>
        </w:tabs>
        <w:spacing w:before="240" w:after="120" w:line="240" w:lineRule="auto"/>
        <w:ind w:left="1440" w:hanging="360"/>
        <w:jc w:val="both"/>
        <w:rPr>
          <w:rFonts w:ascii="Courier New" w:eastAsia="Courier New" w:hAnsi="Courier New" w:cs="Courier New"/>
        </w:rPr>
      </w:pPr>
      <w:r>
        <w:rPr>
          <w:rFonts w:ascii="Arial" w:eastAsia="Arial" w:hAnsi="Arial" w:cs="Arial"/>
        </w:rPr>
        <w:lastRenderedPageBreak/>
        <w:t>Freight-intensive goods: </w:t>
      </w:r>
      <w:r>
        <w:rPr>
          <w:rFonts w:ascii="Arial" w:eastAsia="Arial" w:hAnsi="Arial" w:cs="Arial"/>
        </w:rPr>
        <w:t>The cost of construction materials and agricultural produce can rise.</w:t>
      </w:r>
    </w:p>
    <w:p w14:paraId="0BB91AB2" w14:textId="77777777" w:rsidR="00BC7B06" w:rsidRDefault="006821BF">
      <w:pPr>
        <w:numPr>
          <w:ilvl w:val="0"/>
          <w:numId w:val="2"/>
        </w:numPr>
        <w:tabs>
          <w:tab w:val="left" w:pos="720"/>
        </w:tabs>
        <w:spacing w:before="240" w:after="120" w:line="240" w:lineRule="auto"/>
        <w:ind w:left="720" w:hanging="360"/>
        <w:jc w:val="both"/>
        <w:rPr>
          <w:rFonts w:ascii="Arial" w:eastAsia="Arial" w:hAnsi="Arial" w:cs="Arial"/>
        </w:rPr>
      </w:pPr>
      <w:r>
        <w:rPr>
          <w:rFonts w:ascii="Arial" w:eastAsia="Arial" w:hAnsi="Arial" w:cs="Arial"/>
        </w:rPr>
        <w:t>Firms will attempt to pass increased costs onto consumers</w:t>
      </w:r>
      <w:r>
        <w:rPr>
          <w:rFonts w:ascii="Arial" w:eastAsia="Arial" w:hAnsi="Arial" w:cs="Arial"/>
          <w:b/>
          <w:bCs/>
        </w:rPr>
        <w:t> </w:t>
      </w:r>
      <w:r>
        <w:rPr>
          <w:rFonts w:ascii="Arial" w:eastAsia="Arial" w:hAnsi="Arial" w:cs="Arial"/>
        </w:rPr>
        <w:t>in the form of higher final prices. This may be in the form of ‘Markup pricing</w:t>
      </w:r>
      <w:proofErr w:type="gramStart"/>
      <w:r>
        <w:rPr>
          <w:rFonts w:ascii="Arial" w:eastAsia="Arial" w:hAnsi="Arial" w:cs="Arial"/>
        </w:rPr>
        <w:t>’,</w:t>
      </w:r>
      <w:proofErr w:type="gramEnd"/>
      <w:r>
        <w:rPr>
          <w:rFonts w:ascii="Arial" w:eastAsia="Arial" w:hAnsi="Arial" w:cs="Arial"/>
        </w:rPr>
        <w:t xml:space="preserve"> which is a pricing strategy where businesses determine the selling price of a product by adding a percentage over and above costs. There is evidence that cost-pass through may be greater than 100%.</w:t>
      </w:r>
      <w:r>
        <w:rPr>
          <w:rFonts w:ascii="Arial" w:eastAsia="Arial" w:hAnsi="Arial" w:cs="Arial"/>
          <w:color w:val="000000"/>
          <w:sz w:val="16"/>
          <w:szCs w:val="16"/>
          <w:vertAlign w:val="superscript"/>
        </w:rPr>
        <w:footnoteReference w:id="3"/>
      </w:r>
      <w:r>
        <w:rPr>
          <w:rFonts w:ascii="Arial" w:eastAsia="Arial" w:hAnsi="Arial" w:cs="Arial"/>
        </w:rPr>
        <w:t xml:space="preserve"> This analysis assumes a cost pass-through rate of 115% to reflect this research. </w:t>
      </w:r>
    </w:p>
    <w:p w14:paraId="0BB91AB3" w14:textId="77777777" w:rsidR="00BC7B06" w:rsidRDefault="00BC7B06">
      <w:pPr>
        <w:spacing w:before="240" w:after="120" w:line="240" w:lineRule="auto"/>
        <w:ind w:left="720"/>
        <w:jc w:val="both"/>
        <w:rPr>
          <w:rFonts w:ascii="Arial" w:eastAsia="Arial" w:hAnsi="Arial" w:cs="Arial"/>
        </w:rPr>
      </w:pPr>
    </w:p>
    <w:p w14:paraId="0BB91AB4" w14:textId="77777777" w:rsidR="00BC7B06" w:rsidRDefault="006821BF">
      <w:pPr>
        <w:pStyle w:val="Heading3"/>
        <w:spacing w:before="160" w:after="80"/>
      </w:pPr>
      <w:r>
        <w:rPr>
          <w:rFonts w:ascii="Aptos" w:eastAsia="Aptos" w:hAnsi="Aptos" w:cs="Aptos"/>
          <w:b w:val="0"/>
          <w:bCs w:val="0"/>
          <w:color w:val="0F4761"/>
        </w:rPr>
        <w:t>Tax change scenarios</w:t>
      </w:r>
    </w:p>
    <w:p w14:paraId="0BB91AB5" w14:textId="77777777" w:rsidR="00BC7B06" w:rsidRDefault="006821BF">
      <w:pPr>
        <w:spacing w:after="160"/>
        <w:jc w:val="both"/>
      </w:pPr>
      <w:r>
        <w:rPr>
          <w:rFonts w:ascii="Arial" w:eastAsia="Arial" w:hAnsi="Arial" w:cs="Arial"/>
        </w:rPr>
        <w:t xml:space="preserve">Two core scenarios </w:t>
      </w:r>
      <w:proofErr w:type="gramStart"/>
      <w:r>
        <w:rPr>
          <w:rFonts w:ascii="Arial" w:eastAsia="Arial" w:hAnsi="Arial" w:cs="Arial"/>
        </w:rPr>
        <w:t>were explored</w:t>
      </w:r>
      <w:proofErr w:type="gramEnd"/>
      <w:r>
        <w:rPr>
          <w:rFonts w:ascii="Arial" w:eastAsia="Arial" w:hAnsi="Arial" w:cs="Arial"/>
        </w:rPr>
        <w:t xml:space="preserve"> related to Fuel Duty, and another that captures potential changes to the other road taxes in the forthcoming UK budget. </w:t>
      </w:r>
    </w:p>
    <w:p w14:paraId="0BB91AB6" w14:textId="77777777" w:rsidR="00BC7B06" w:rsidRDefault="006821BF">
      <w:pPr>
        <w:numPr>
          <w:ilvl w:val="0"/>
          <w:numId w:val="3"/>
        </w:numPr>
        <w:pBdr>
          <w:left w:val="none" w:sz="0" w:space="1" w:color="auto"/>
        </w:pBdr>
        <w:jc w:val="both"/>
        <w:rPr>
          <w:rFonts w:ascii="Arial" w:eastAsia="Arial" w:hAnsi="Arial" w:cs="Arial"/>
        </w:rPr>
      </w:pPr>
      <w:r>
        <w:rPr>
          <w:rFonts w:ascii="Arial" w:eastAsia="Arial" w:hAnsi="Arial" w:cs="Arial"/>
        </w:rPr>
        <w:t>Fuel Duty – 2p and 5p.</w:t>
      </w:r>
    </w:p>
    <w:p w14:paraId="0BB91AB7" w14:textId="77777777" w:rsidR="00BC7B06" w:rsidRDefault="00BC7B06">
      <w:pPr>
        <w:ind w:left="720"/>
        <w:jc w:val="both"/>
        <w:rPr>
          <w:rFonts w:ascii="Arial" w:eastAsia="Arial" w:hAnsi="Arial" w:cs="Arial"/>
        </w:rPr>
      </w:pPr>
    </w:p>
    <w:p w14:paraId="0BB91AB8" w14:textId="77777777" w:rsidR="00BC7B06" w:rsidRDefault="006821BF">
      <w:pPr>
        <w:numPr>
          <w:ilvl w:val="0"/>
          <w:numId w:val="4"/>
        </w:numPr>
        <w:pBdr>
          <w:left w:val="none" w:sz="0" w:space="1" w:color="auto"/>
        </w:pBdr>
        <w:spacing w:after="160"/>
        <w:jc w:val="both"/>
        <w:rPr>
          <w:rFonts w:ascii="Arial" w:eastAsia="Arial" w:hAnsi="Arial" w:cs="Arial"/>
        </w:rPr>
      </w:pPr>
      <w:r>
        <w:rPr>
          <w:rFonts w:ascii="Arial" w:eastAsia="Arial" w:hAnsi="Arial" w:cs="Arial"/>
        </w:rPr>
        <w:t>Road Taxes – Vehicle Excise Duty (VED) and HGV road user levy – an increase in line with the Retail Price Index (RPI).</w:t>
      </w:r>
    </w:p>
    <w:p w14:paraId="0BB91AB9" w14:textId="77777777" w:rsidR="00BC7B06" w:rsidRDefault="00BC7B06">
      <w:pPr>
        <w:spacing w:after="160"/>
        <w:jc w:val="both"/>
        <w:rPr>
          <w:rFonts w:ascii="Arial" w:eastAsia="Arial" w:hAnsi="Arial" w:cs="Arial"/>
          <w:b/>
          <w:bCs/>
        </w:rPr>
      </w:pPr>
    </w:p>
    <w:p w14:paraId="0BB91ABA" w14:textId="77777777" w:rsidR="00BC7B06" w:rsidRDefault="006821BF">
      <w:pPr>
        <w:spacing w:after="160"/>
        <w:jc w:val="both"/>
      </w:pPr>
      <w:r>
        <w:rPr>
          <w:rFonts w:ascii="Arial" w:eastAsia="Arial" w:hAnsi="Arial" w:cs="Arial"/>
          <w:b/>
          <w:bCs/>
        </w:rPr>
        <w:t>Figure 1: Supply chain impacts</w:t>
      </w:r>
    </w:p>
    <w:p w14:paraId="0BB91ABB" w14:textId="77777777" w:rsidR="00BC7B06" w:rsidRDefault="006821BF">
      <w:pPr>
        <w:spacing w:after="160"/>
        <w:ind w:left="720"/>
        <w:jc w:val="both"/>
      </w:pPr>
      <w:r>
        <w:rPr>
          <w:noProof/>
        </w:rPr>
        <w:drawing>
          <wp:inline distT="0" distB="0" distL="0" distR="0" wp14:anchorId="0BB91AF4" wp14:editId="0BB91AF5">
            <wp:extent cx="5153025" cy="142875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5153025" cy="1428750"/>
                    </a:xfrm>
                    <a:prstGeom prst="rect">
                      <a:avLst/>
                    </a:prstGeom>
                  </pic:spPr>
                </pic:pic>
              </a:graphicData>
            </a:graphic>
          </wp:inline>
        </w:drawing>
      </w:r>
    </w:p>
    <w:p w14:paraId="0BB91ABC" w14:textId="77777777" w:rsidR="00BC7B06" w:rsidRDefault="006821BF">
      <w:pPr>
        <w:spacing w:after="160"/>
        <w:jc w:val="both"/>
      </w:pPr>
      <w:r>
        <w:rPr>
          <w:rFonts w:ascii="Arial" w:eastAsia="Arial" w:hAnsi="Arial" w:cs="Arial"/>
        </w:rPr>
        <w:t xml:space="preserve">Figure 1 outlines the framework used to consider the supply chain impacts. The analytical methodology utilises the ONS Supply-Use / Input-Output (IO) framework. Fuel duty impacts </w:t>
      </w:r>
      <w:proofErr w:type="gramStart"/>
      <w:r>
        <w:rPr>
          <w:rFonts w:ascii="Arial" w:eastAsia="Arial" w:hAnsi="Arial" w:cs="Arial"/>
        </w:rPr>
        <w:t>are estimated</w:t>
      </w:r>
      <w:proofErr w:type="gramEnd"/>
      <w:r>
        <w:rPr>
          <w:rFonts w:ascii="Arial" w:eastAsia="Arial" w:hAnsi="Arial" w:cs="Arial"/>
        </w:rPr>
        <w:t xml:space="preserve"> as a ‘shock’ that directly impacts Division 24: Coke &amp; refined petroleum products</w:t>
      </w:r>
      <w:r>
        <w:rPr>
          <w:rFonts w:ascii="Arial" w:eastAsia="Arial" w:hAnsi="Arial" w:cs="Arial"/>
          <w:b/>
          <w:bCs/>
        </w:rPr>
        <w:t> (</w:t>
      </w:r>
      <w:r>
        <w:rPr>
          <w:rFonts w:ascii="Arial" w:eastAsia="Arial" w:hAnsi="Arial" w:cs="Arial"/>
        </w:rPr>
        <w:t xml:space="preserve">covers petrol, diesel, aviation fuel, heating oil). Fuel duty is a per-litre excise, so in the IO table it enters as a tax on products within this sector, raising its purchaser’s prices. Other road taxes </w:t>
      </w:r>
      <w:proofErr w:type="gramStart"/>
      <w:r>
        <w:rPr>
          <w:rFonts w:ascii="Arial" w:eastAsia="Arial" w:hAnsi="Arial" w:cs="Arial"/>
        </w:rPr>
        <w:t>are incurred</w:t>
      </w:r>
      <w:proofErr w:type="gramEnd"/>
      <w:r>
        <w:rPr>
          <w:rFonts w:ascii="Arial" w:eastAsia="Arial" w:hAnsi="Arial" w:cs="Arial"/>
        </w:rPr>
        <w:t xml:space="preserve"> via Division 62: Land transport services and transport services via pipelines, excluding rail transport. These supply chain impacts </w:t>
      </w:r>
      <w:proofErr w:type="gramStart"/>
      <w:r>
        <w:rPr>
          <w:rFonts w:ascii="Arial" w:eastAsia="Arial" w:hAnsi="Arial" w:cs="Arial"/>
        </w:rPr>
        <w:t>are modelled</w:t>
      </w:r>
      <w:proofErr w:type="gramEnd"/>
      <w:r>
        <w:rPr>
          <w:rFonts w:ascii="Arial" w:eastAsia="Arial" w:hAnsi="Arial" w:cs="Arial"/>
        </w:rPr>
        <w:t xml:space="preserve"> via a Leontief price model:</w:t>
      </w:r>
    </w:p>
    <w:p w14:paraId="0BB91ABD" w14:textId="77777777" w:rsidR="00BC7B06" w:rsidRDefault="006821BF">
      <w:pPr>
        <w:spacing w:before="280" w:after="280" w:line="240" w:lineRule="auto"/>
        <w:jc w:val="both"/>
      </w:pPr>
      <w:r>
        <w:rPr>
          <w:noProof/>
        </w:rPr>
        <w:lastRenderedPageBreak/>
        <w:drawing>
          <wp:inline distT="0" distB="0" distL="0" distR="0" wp14:anchorId="0BB91AF6" wp14:editId="0BB91AF7">
            <wp:extent cx="1304925" cy="219075"/>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1304925" cy="219075"/>
                    </a:xfrm>
                    <a:prstGeom prst="rect">
                      <a:avLst/>
                    </a:prstGeom>
                  </pic:spPr>
                </pic:pic>
              </a:graphicData>
            </a:graphic>
          </wp:inline>
        </w:drawing>
      </w:r>
      <w:r>
        <w:rPr>
          <w:rFonts w:ascii="Arial" w:eastAsia="Arial" w:hAnsi="Arial" w:cs="Arial"/>
        </w:rPr>
        <w:t xml:space="preserve"> </w:t>
      </w:r>
    </w:p>
    <w:p w14:paraId="0BB91ABE" w14:textId="77777777" w:rsidR="00BC7B06" w:rsidRDefault="006821BF">
      <w:pPr>
        <w:spacing w:before="280" w:after="280" w:line="240" w:lineRule="auto"/>
        <w:jc w:val="both"/>
      </w:pPr>
      <w:r>
        <w:rPr>
          <w:rFonts w:ascii="Arial" w:eastAsia="Arial" w:hAnsi="Arial" w:cs="Arial"/>
        </w:rPr>
        <w:t>where:</w:t>
      </w:r>
    </w:p>
    <w:p w14:paraId="0BB91ABF" w14:textId="77777777" w:rsidR="00BC7B06" w:rsidRDefault="006821BF">
      <w:pPr>
        <w:numPr>
          <w:ilvl w:val="0"/>
          <w:numId w:val="5"/>
        </w:numPr>
        <w:pBdr>
          <w:left w:val="none" w:sz="0" w:space="8" w:color="auto"/>
        </w:pBdr>
        <w:spacing w:before="280" w:line="240" w:lineRule="auto"/>
        <w:ind w:hanging="424"/>
        <w:jc w:val="both"/>
        <w:rPr>
          <w:rFonts w:ascii="Times New Roman" w:eastAsia="Times New Roman" w:hAnsi="Times New Roman" w:cs="Times New Roman"/>
          <w:sz w:val="20"/>
          <w:szCs w:val="20"/>
        </w:rPr>
      </w:pPr>
      <w:r>
        <w:rPr>
          <w:rFonts w:ascii="Arial" w:eastAsia="Arial" w:hAnsi="Arial" w:cs="Arial"/>
        </w:rPr>
        <w:t>p = vector of price changes,</w:t>
      </w:r>
    </w:p>
    <w:p w14:paraId="0BB91AC0" w14:textId="77777777" w:rsidR="00BC7B06" w:rsidRDefault="006821BF">
      <w:pPr>
        <w:numPr>
          <w:ilvl w:val="0"/>
          <w:numId w:val="5"/>
        </w:numPr>
        <w:pBdr>
          <w:left w:val="none" w:sz="0" w:space="8" w:color="auto"/>
        </w:pBdr>
        <w:spacing w:line="240" w:lineRule="auto"/>
        <w:ind w:hanging="424"/>
        <w:jc w:val="both"/>
        <w:rPr>
          <w:rFonts w:ascii="Times New Roman" w:eastAsia="Times New Roman" w:hAnsi="Times New Roman" w:cs="Times New Roman"/>
          <w:sz w:val="20"/>
          <w:szCs w:val="20"/>
        </w:rPr>
      </w:pPr>
      <w:r>
        <w:rPr>
          <w:rFonts w:ascii="Arial" w:eastAsia="Arial" w:hAnsi="Arial" w:cs="Arial"/>
        </w:rPr>
        <w:t>A = input–output coefficient matrix,</w:t>
      </w:r>
    </w:p>
    <w:p w14:paraId="0BB91AC1" w14:textId="77777777" w:rsidR="00BC7B06" w:rsidRDefault="006821BF">
      <w:pPr>
        <w:numPr>
          <w:ilvl w:val="0"/>
          <w:numId w:val="5"/>
        </w:numPr>
        <w:pBdr>
          <w:left w:val="none" w:sz="0" w:space="8" w:color="auto"/>
        </w:pBdr>
        <w:spacing w:after="280" w:line="240" w:lineRule="auto"/>
        <w:ind w:hanging="424"/>
        <w:jc w:val="both"/>
        <w:rPr>
          <w:rFonts w:ascii="Times New Roman" w:eastAsia="Times New Roman" w:hAnsi="Times New Roman" w:cs="Times New Roman"/>
          <w:sz w:val="20"/>
          <w:szCs w:val="20"/>
        </w:rPr>
      </w:pPr>
      <w:r>
        <w:rPr>
          <w:rFonts w:ascii="Arial" w:eastAsia="Arial" w:hAnsi="Arial" w:cs="Arial"/>
        </w:rPr>
        <w:t>v = vector of tax-induced cost increases (i.e., fuel duty applied to petroleum sector).</w:t>
      </w:r>
    </w:p>
    <w:p w14:paraId="0BB91AC2" w14:textId="77777777" w:rsidR="00BC7B06" w:rsidRDefault="006821BF">
      <w:pPr>
        <w:spacing w:before="280" w:after="280" w:line="240" w:lineRule="auto"/>
        <w:jc w:val="both"/>
      </w:pPr>
      <w:r>
        <w:rPr>
          <w:rFonts w:ascii="Arial" w:eastAsia="Arial" w:hAnsi="Arial" w:cs="Arial"/>
        </w:rPr>
        <w:t xml:space="preserve">We start with a shock vector, so for fuel duty impacts, only petroleum products sector has a positive tax shock. This generates a direct rise in the petroleum product’s basic price. Secondly, it generates indirect rises in all other industries that use fuel (transport, retail, food, </w:t>
      </w:r>
      <w:proofErr w:type="gramStart"/>
      <w:r>
        <w:rPr>
          <w:rFonts w:ascii="Arial" w:eastAsia="Arial" w:hAnsi="Arial" w:cs="Arial"/>
        </w:rPr>
        <w:t>etc.</w:t>
      </w:r>
      <w:proofErr w:type="gramEnd"/>
      <w:r>
        <w:rPr>
          <w:rFonts w:ascii="Arial" w:eastAsia="Arial" w:hAnsi="Arial" w:cs="Arial"/>
        </w:rPr>
        <w:t>). These impacts propagate through the system and thereby yields price increases across a wide range of industries.</w:t>
      </w:r>
    </w:p>
    <w:p w14:paraId="0BB91AC3" w14:textId="77777777" w:rsidR="00BC7B06" w:rsidRDefault="006821BF">
      <w:pPr>
        <w:spacing w:after="160"/>
        <w:jc w:val="both"/>
      </w:pPr>
      <w:r>
        <w:rPr>
          <w:rFonts w:ascii="Arial" w:eastAsia="Arial" w:hAnsi="Arial" w:cs="Arial"/>
          <w:b/>
          <w:bCs/>
        </w:rPr>
        <w:t>Microsimulation analysis</w:t>
      </w:r>
    </w:p>
    <w:p w14:paraId="0BB91AC4" w14:textId="77777777" w:rsidR="00BC7B06" w:rsidRDefault="006821BF">
      <w:pPr>
        <w:spacing w:after="160"/>
        <w:jc w:val="both"/>
      </w:pPr>
      <w:r>
        <w:rPr>
          <w:rFonts w:ascii="Arial" w:eastAsia="Arial" w:hAnsi="Arial" w:cs="Arial"/>
        </w:rPr>
        <w:t>The next part of the analysis estimated how these impacts feed through to impact final household prices. This is based on the Living Costs and Food survey data.</w:t>
      </w:r>
      <w:r>
        <w:rPr>
          <w:rFonts w:ascii="Arial" w:eastAsia="Arial" w:hAnsi="Arial" w:cs="Arial"/>
          <w:color w:val="000000"/>
          <w:sz w:val="16"/>
          <w:szCs w:val="16"/>
          <w:vertAlign w:val="superscript"/>
        </w:rPr>
        <w:footnoteReference w:id="4"/>
      </w:r>
    </w:p>
    <w:p w14:paraId="0BB91AC5" w14:textId="77777777" w:rsidR="00BC7B06" w:rsidRDefault="00BC7B06">
      <w:pPr>
        <w:spacing w:line="240" w:lineRule="auto"/>
      </w:pPr>
    </w:p>
    <w:p w14:paraId="0BB91AC6" w14:textId="77777777" w:rsidR="00BC7B06" w:rsidRDefault="00BC7B06">
      <w:pPr>
        <w:spacing w:after="160"/>
        <w:jc w:val="both"/>
        <w:rPr>
          <w:rFonts w:ascii="Arial" w:eastAsia="Arial" w:hAnsi="Arial" w:cs="Arial"/>
        </w:rPr>
      </w:pPr>
    </w:p>
    <w:p w14:paraId="1B62DFF2" w14:textId="77777777" w:rsidR="00694AB5" w:rsidRDefault="00694AB5">
      <w:pPr>
        <w:spacing w:after="160"/>
        <w:jc w:val="both"/>
        <w:rPr>
          <w:rFonts w:ascii="Arial" w:eastAsia="Arial" w:hAnsi="Arial" w:cs="Arial"/>
        </w:rPr>
      </w:pPr>
    </w:p>
    <w:p w14:paraId="237161DE" w14:textId="77777777" w:rsidR="00694AB5" w:rsidRDefault="00694AB5">
      <w:pPr>
        <w:spacing w:after="160"/>
        <w:jc w:val="both"/>
        <w:rPr>
          <w:rFonts w:ascii="Arial" w:eastAsia="Arial" w:hAnsi="Arial" w:cs="Arial"/>
        </w:rPr>
      </w:pPr>
    </w:p>
    <w:p w14:paraId="3ABA3ECC" w14:textId="77777777" w:rsidR="00694AB5" w:rsidRDefault="00694AB5">
      <w:pPr>
        <w:spacing w:after="160"/>
        <w:jc w:val="both"/>
        <w:rPr>
          <w:rFonts w:ascii="Arial" w:eastAsia="Arial" w:hAnsi="Arial" w:cs="Arial"/>
        </w:rPr>
      </w:pPr>
    </w:p>
    <w:p w14:paraId="4B4118C8" w14:textId="77777777" w:rsidR="00694AB5" w:rsidRDefault="00694AB5">
      <w:pPr>
        <w:spacing w:after="160"/>
        <w:jc w:val="both"/>
        <w:rPr>
          <w:rFonts w:ascii="Arial" w:eastAsia="Arial" w:hAnsi="Arial" w:cs="Arial"/>
        </w:rPr>
      </w:pPr>
    </w:p>
    <w:p w14:paraId="64E6F6B1" w14:textId="77777777" w:rsidR="00694AB5" w:rsidRDefault="00694AB5">
      <w:pPr>
        <w:spacing w:after="160"/>
        <w:jc w:val="both"/>
        <w:rPr>
          <w:rFonts w:ascii="Arial" w:eastAsia="Arial" w:hAnsi="Arial" w:cs="Arial"/>
        </w:rPr>
      </w:pPr>
    </w:p>
    <w:p w14:paraId="187E1247" w14:textId="77777777" w:rsidR="00694AB5" w:rsidRDefault="00694AB5">
      <w:pPr>
        <w:spacing w:after="160"/>
        <w:jc w:val="both"/>
        <w:rPr>
          <w:rFonts w:ascii="Arial" w:eastAsia="Arial" w:hAnsi="Arial" w:cs="Arial"/>
        </w:rPr>
      </w:pPr>
    </w:p>
    <w:p w14:paraId="276872BB" w14:textId="77777777" w:rsidR="00694AB5" w:rsidRDefault="00694AB5">
      <w:pPr>
        <w:spacing w:after="160"/>
        <w:jc w:val="both"/>
        <w:rPr>
          <w:rFonts w:ascii="Arial" w:eastAsia="Arial" w:hAnsi="Arial" w:cs="Arial"/>
        </w:rPr>
      </w:pPr>
    </w:p>
    <w:p w14:paraId="20AB97C2" w14:textId="77777777" w:rsidR="00694AB5" w:rsidRDefault="00694AB5">
      <w:pPr>
        <w:spacing w:after="160"/>
        <w:jc w:val="both"/>
        <w:rPr>
          <w:rFonts w:ascii="Arial" w:eastAsia="Arial" w:hAnsi="Arial" w:cs="Arial"/>
        </w:rPr>
      </w:pPr>
    </w:p>
    <w:p w14:paraId="2B9F7901" w14:textId="77777777" w:rsidR="00694AB5" w:rsidRDefault="00694AB5">
      <w:pPr>
        <w:spacing w:after="160"/>
        <w:jc w:val="both"/>
        <w:rPr>
          <w:rFonts w:ascii="Arial" w:eastAsia="Arial" w:hAnsi="Arial" w:cs="Arial"/>
        </w:rPr>
      </w:pPr>
    </w:p>
    <w:p w14:paraId="1C144EB5" w14:textId="77777777" w:rsidR="00694AB5" w:rsidRDefault="00694AB5">
      <w:pPr>
        <w:spacing w:after="160"/>
        <w:jc w:val="both"/>
        <w:rPr>
          <w:rFonts w:ascii="Arial" w:eastAsia="Arial" w:hAnsi="Arial" w:cs="Arial"/>
        </w:rPr>
      </w:pPr>
    </w:p>
    <w:p w14:paraId="220C9891" w14:textId="77777777" w:rsidR="00694AB5" w:rsidRDefault="00694AB5">
      <w:pPr>
        <w:spacing w:after="160"/>
        <w:jc w:val="both"/>
        <w:rPr>
          <w:rFonts w:ascii="Arial" w:eastAsia="Arial" w:hAnsi="Arial" w:cs="Arial"/>
        </w:rPr>
      </w:pPr>
    </w:p>
    <w:p w14:paraId="05FAD5B4" w14:textId="77777777" w:rsidR="00694AB5" w:rsidRDefault="00694AB5">
      <w:pPr>
        <w:spacing w:after="160"/>
        <w:jc w:val="both"/>
        <w:rPr>
          <w:rFonts w:ascii="Arial" w:eastAsia="Arial" w:hAnsi="Arial" w:cs="Arial"/>
        </w:rPr>
      </w:pPr>
    </w:p>
    <w:p w14:paraId="0BB91AC7" w14:textId="77777777" w:rsidR="00BC7B06" w:rsidRDefault="006821BF">
      <w:pPr>
        <w:pStyle w:val="Heading1"/>
        <w:spacing w:before="360" w:after="80"/>
        <w:rPr>
          <w:rFonts w:ascii="Aptos Display" w:eastAsia="Aptos Display" w:hAnsi="Aptos Display" w:cs="Aptos Display"/>
          <w:b w:val="0"/>
          <w:bCs w:val="0"/>
          <w:color w:val="0F4761"/>
          <w:sz w:val="40"/>
          <w:szCs w:val="40"/>
        </w:rPr>
      </w:pPr>
      <w:r>
        <w:rPr>
          <w:rFonts w:ascii="Aptos Display" w:eastAsia="Aptos Display" w:hAnsi="Aptos Display" w:cs="Aptos Display"/>
          <w:b w:val="0"/>
          <w:bCs w:val="0"/>
          <w:color w:val="0F4761"/>
          <w:sz w:val="40"/>
          <w:szCs w:val="40"/>
        </w:rPr>
        <w:lastRenderedPageBreak/>
        <w:t>Results</w:t>
      </w:r>
    </w:p>
    <w:p w14:paraId="3275563D" w14:textId="77777777" w:rsidR="00694AB5" w:rsidRPr="00694AB5" w:rsidRDefault="00694AB5" w:rsidP="00694AB5"/>
    <w:p w14:paraId="0BB91AC8" w14:textId="77777777" w:rsidR="00BC7B06" w:rsidRDefault="006821BF">
      <w:pPr>
        <w:spacing w:line="240" w:lineRule="auto"/>
        <w:jc w:val="both"/>
      </w:pPr>
      <w:r>
        <w:rPr>
          <w:rFonts w:ascii="Arial" w:eastAsia="Arial" w:hAnsi="Arial" w:cs="Arial"/>
        </w:rPr>
        <w:t xml:space="preserve">The overall impact of a 5p rise in Fuel Duty yields a 0.3 percent increase in overall consumer prices. The impact of a RPI rise in other road taxes (VED and the HGV levy) is much small, at only 0.01%. This is primarily because those road taxes make up a much smaller proportion of overall expenditure on transport. </w:t>
      </w:r>
    </w:p>
    <w:p w14:paraId="0BB91AC9" w14:textId="77777777" w:rsidR="00BC7B06" w:rsidRDefault="00BC7B06">
      <w:pPr>
        <w:spacing w:line="240" w:lineRule="auto"/>
        <w:jc w:val="both"/>
        <w:rPr>
          <w:rFonts w:ascii="Arial" w:eastAsia="Arial" w:hAnsi="Arial" w:cs="Arial"/>
        </w:rPr>
      </w:pPr>
    </w:p>
    <w:p w14:paraId="0BB91ACA" w14:textId="77777777" w:rsidR="00BC7B06" w:rsidRDefault="006821BF">
      <w:pPr>
        <w:spacing w:after="160"/>
      </w:pPr>
      <w:r>
        <w:rPr>
          <w:rFonts w:ascii="Arial" w:eastAsia="Arial" w:hAnsi="Arial" w:cs="Arial"/>
        </w:rPr>
        <w:t xml:space="preserve">The main results, broken down by scenario, </w:t>
      </w:r>
      <w:proofErr w:type="gramStart"/>
      <w:r>
        <w:rPr>
          <w:rFonts w:ascii="Arial" w:eastAsia="Arial" w:hAnsi="Arial" w:cs="Arial"/>
        </w:rPr>
        <w:t>are presented</w:t>
      </w:r>
      <w:proofErr w:type="gramEnd"/>
      <w:r>
        <w:rPr>
          <w:rFonts w:ascii="Arial" w:eastAsia="Arial" w:hAnsi="Arial" w:cs="Arial"/>
        </w:rPr>
        <w:t xml:space="preserve"> in Table 1 below.</w:t>
      </w:r>
    </w:p>
    <w:p w14:paraId="0BB91ACB" w14:textId="77777777" w:rsidR="00BC7B06" w:rsidRDefault="006821BF">
      <w:pPr>
        <w:spacing w:after="160"/>
      </w:pPr>
      <w:r>
        <w:rPr>
          <w:b/>
          <w:bCs/>
        </w:rPr>
        <w:t>Table 1: Consumer Price Index (CPI) estimated impacts</w:t>
      </w:r>
    </w:p>
    <w:tbl>
      <w:tblPr>
        <w:tblW w:w="353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537"/>
        <w:gridCol w:w="997"/>
      </w:tblGrid>
      <w:tr w:rsidR="00BC7B06" w14:paraId="0BB91ACE" w14:textId="77777777">
        <w:trPr>
          <w:trHeight w:val="320"/>
        </w:trPr>
        <w:tc>
          <w:tcPr>
            <w:tcW w:w="2542" w:type="dxa"/>
            <w:tcBorders>
              <w:bottom w:val="single" w:sz="4" w:space="0" w:color="000000"/>
              <w:right w:val="single" w:sz="4" w:space="0" w:color="000000"/>
            </w:tcBorders>
            <w:tcMar>
              <w:top w:w="0" w:type="dxa"/>
              <w:left w:w="108" w:type="dxa"/>
              <w:bottom w:w="0" w:type="dxa"/>
              <w:right w:w="108" w:type="dxa"/>
            </w:tcMar>
            <w:vAlign w:val="bottom"/>
            <w:hideMark/>
          </w:tcPr>
          <w:p w14:paraId="0BB91ACC" w14:textId="77777777" w:rsidR="00BC7B06" w:rsidRDefault="006821BF">
            <w:pPr>
              <w:spacing w:line="240" w:lineRule="auto"/>
              <w:rPr>
                <w:color w:val="000000"/>
              </w:rPr>
            </w:pPr>
            <w:r>
              <w:rPr>
                <w:rFonts w:ascii="Aptos Narrow" w:eastAsia="Aptos Narrow" w:hAnsi="Aptos Narrow" w:cs="Aptos Narrow"/>
                <w:color w:val="000000"/>
              </w:rPr>
              <w:t xml:space="preserve">2p Fuel Duty rise </w:t>
            </w:r>
          </w:p>
        </w:tc>
        <w:tc>
          <w:tcPr>
            <w:tcW w:w="997" w:type="dxa"/>
            <w:tcBorders>
              <w:bottom w:val="single" w:sz="4" w:space="0" w:color="000000"/>
            </w:tcBorders>
            <w:tcMar>
              <w:top w:w="0" w:type="dxa"/>
              <w:left w:w="113" w:type="dxa"/>
              <w:bottom w:w="0" w:type="dxa"/>
              <w:right w:w="108" w:type="dxa"/>
            </w:tcMar>
            <w:vAlign w:val="bottom"/>
            <w:hideMark/>
          </w:tcPr>
          <w:p w14:paraId="0BB91ACD" w14:textId="77777777" w:rsidR="00BC7B06" w:rsidRDefault="006821BF">
            <w:pPr>
              <w:spacing w:line="240" w:lineRule="auto"/>
              <w:jc w:val="center"/>
              <w:rPr>
                <w:color w:val="000000"/>
              </w:rPr>
            </w:pPr>
            <w:r>
              <w:rPr>
                <w:rFonts w:ascii="Aptos Narrow" w:eastAsia="Aptos Narrow" w:hAnsi="Aptos Narrow" w:cs="Aptos Narrow"/>
                <w:color w:val="000000"/>
              </w:rPr>
              <w:t>0.1%</w:t>
            </w:r>
          </w:p>
        </w:tc>
      </w:tr>
      <w:tr w:rsidR="00BC7B06" w14:paraId="0BB91AD1" w14:textId="77777777">
        <w:trPr>
          <w:trHeight w:val="320"/>
        </w:trPr>
        <w:tc>
          <w:tcPr>
            <w:tcW w:w="2542" w:type="dxa"/>
            <w:tcBorders>
              <w:right w:val="single" w:sz="4" w:space="0" w:color="000000"/>
            </w:tcBorders>
            <w:tcMar>
              <w:top w:w="0" w:type="dxa"/>
              <w:left w:w="108" w:type="dxa"/>
              <w:bottom w:w="0" w:type="dxa"/>
              <w:right w:w="108" w:type="dxa"/>
            </w:tcMar>
            <w:vAlign w:val="bottom"/>
            <w:hideMark/>
          </w:tcPr>
          <w:p w14:paraId="0BB91ACF" w14:textId="77777777" w:rsidR="00BC7B06" w:rsidRDefault="006821BF">
            <w:pPr>
              <w:spacing w:line="240" w:lineRule="auto"/>
              <w:rPr>
                <w:color w:val="000000"/>
              </w:rPr>
            </w:pPr>
            <w:r>
              <w:rPr>
                <w:rFonts w:ascii="Aptos Narrow" w:eastAsia="Aptos Narrow" w:hAnsi="Aptos Narrow" w:cs="Aptos Narrow"/>
                <w:color w:val="000000"/>
              </w:rPr>
              <w:t>5p Fuel Duty rise</w:t>
            </w:r>
          </w:p>
        </w:tc>
        <w:tc>
          <w:tcPr>
            <w:tcW w:w="997" w:type="dxa"/>
            <w:tcMar>
              <w:top w:w="0" w:type="dxa"/>
              <w:left w:w="113" w:type="dxa"/>
              <w:bottom w:w="0" w:type="dxa"/>
              <w:right w:w="108" w:type="dxa"/>
            </w:tcMar>
            <w:vAlign w:val="bottom"/>
            <w:hideMark/>
          </w:tcPr>
          <w:p w14:paraId="0BB91AD0" w14:textId="77777777" w:rsidR="00BC7B06" w:rsidRDefault="006821BF">
            <w:pPr>
              <w:spacing w:line="240" w:lineRule="auto"/>
              <w:jc w:val="center"/>
              <w:rPr>
                <w:color w:val="000000"/>
              </w:rPr>
            </w:pPr>
            <w:r>
              <w:rPr>
                <w:rFonts w:ascii="Aptos Narrow" w:eastAsia="Aptos Narrow" w:hAnsi="Aptos Narrow" w:cs="Aptos Narrow"/>
                <w:color w:val="000000"/>
              </w:rPr>
              <w:t>0.3%</w:t>
            </w:r>
          </w:p>
        </w:tc>
      </w:tr>
      <w:tr w:rsidR="00BC7B06" w14:paraId="0BB91AD4" w14:textId="77777777">
        <w:trPr>
          <w:trHeight w:val="400"/>
        </w:trPr>
        <w:tc>
          <w:tcPr>
            <w:tcW w:w="2542" w:type="dxa"/>
            <w:tcBorders>
              <w:top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BB91AD2" w14:textId="77777777" w:rsidR="00BC7B06" w:rsidRDefault="006821BF">
            <w:pPr>
              <w:spacing w:line="240" w:lineRule="auto"/>
              <w:rPr>
                <w:color w:val="000000"/>
              </w:rPr>
            </w:pPr>
            <w:r>
              <w:rPr>
                <w:rFonts w:ascii="Aptos Narrow" w:eastAsia="Aptos Narrow" w:hAnsi="Aptos Narrow" w:cs="Aptos Narrow"/>
                <w:color w:val="000000"/>
              </w:rPr>
              <w:t>2p Fuel Duty rise plus Road Tax RPI rise</w:t>
            </w:r>
          </w:p>
        </w:tc>
        <w:tc>
          <w:tcPr>
            <w:tcW w:w="997" w:type="dxa"/>
            <w:tcBorders>
              <w:top w:val="single" w:sz="4" w:space="0" w:color="000000"/>
              <w:bottom w:val="single" w:sz="4" w:space="0" w:color="000000"/>
            </w:tcBorders>
            <w:tcMar>
              <w:top w:w="0" w:type="dxa"/>
              <w:left w:w="113" w:type="dxa"/>
              <w:bottom w:w="0" w:type="dxa"/>
              <w:right w:w="108" w:type="dxa"/>
            </w:tcMar>
            <w:vAlign w:val="bottom"/>
            <w:hideMark/>
          </w:tcPr>
          <w:p w14:paraId="0BB91AD3" w14:textId="77777777" w:rsidR="00BC7B06" w:rsidRDefault="006821BF">
            <w:pPr>
              <w:spacing w:line="240" w:lineRule="auto"/>
              <w:jc w:val="center"/>
              <w:rPr>
                <w:color w:val="000000"/>
              </w:rPr>
            </w:pPr>
            <w:r>
              <w:rPr>
                <w:rFonts w:ascii="Aptos Narrow" w:eastAsia="Aptos Narrow" w:hAnsi="Aptos Narrow" w:cs="Aptos Narrow"/>
                <w:color w:val="000000"/>
              </w:rPr>
              <w:t>0.1%</w:t>
            </w:r>
          </w:p>
        </w:tc>
      </w:tr>
      <w:tr w:rsidR="00BC7B06" w14:paraId="0BB91AD7" w14:textId="77777777">
        <w:trPr>
          <w:trHeight w:val="1020"/>
        </w:trPr>
        <w:tc>
          <w:tcPr>
            <w:tcW w:w="2542" w:type="dxa"/>
            <w:tcBorders>
              <w:bottom w:val="single" w:sz="4" w:space="0" w:color="000000"/>
              <w:right w:val="single" w:sz="4" w:space="0" w:color="000000"/>
            </w:tcBorders>
            <w:tcMar>
              <w:top w:w="0" w:type="dxa"/>
              <w:left w:w="108" w:type="dxa"/>
              <w:bottom w:w="0" w:type="dxa"/>
              <w:right w:w="108" w:type="dxa"/>
            </w:tcMar>
            <w:vAlign w:val="bottom"/>
            <w:hideMark/>
          </w:tcPr>
          <w:p w14:paraId="0BB91AD5" w14:textId="77777777" w:rsidR="00BC7B06" w:rsidRDefault="006821BF">
            <w:pPr>
              <w:spacing w:line="240" w:lineRule="auto"/>
              <w:rPr>
                <w:color w:val="000000"/>
              </w:rPr>
            </w:pPr>
            <w:r>
              <w:rPr>
                <w:rFonts w:ascii="Aptos Narrow" w:eastAsia="Aptos Narrow" w:hAnsi="Aptos Narrow" w:cs="Aptos Narrow"/>
                <w:color w:val="000000"/>
              </w:rPr>
              <w:t>5p Fuel Duty rise plus Road Tax RPI rise</w:t>
            </w:r>
          </w:p>
        </w:tc>
        <w:tc>
          <w:tcPr>
            <w:tcW w:w="997" w:type="dxa"/>
            <w:tcBorders>
              <w:bottom w:val="single" w:sz="4" w:space="0" w:color="000000"/>
            </w:tcBorders>
            <w:tcMar>
              <w:top w:w="0" w:type="dxa"/>
              <w:left w:w="113" w:type="dxa"/>
              <w:bottom w:w="0" w:type="dxa"/>
              <w:right w:w="108" w:type="dxa"/>
            </w:tcMar>
            <w:vAlign w:val="bottom"/>
            <w:hideMark/>
          </w:tcPr>
          <w:p w14:paraId="0BB91AD6" w14:textId="77777777" w:rsidR="00BC7B06" w:rsidRDefault="006821BF">
            <w:pPr>
              <w:spacing w:line="240" w:lineRule="auto"/>
              <w:jc w:val="center"/>
              <w:rPr>
                <w:color w:val="000000"/>
              </w:rPr>
            </w:pPr>
            <w:r>
              <w:rPr>
                <w:rFonts w:ascii="Aptos Narrow" w:eastAsia="Aptos Narrow" w:hAnsi="Aptos Narrow" w:cs="Aptos Narrow"/>
                <w:color w:val="000000"/>
              </w:rPr>
              <w:t>0.3%</w:t>
            </w:r>
          </w:p>
        </w:tc>
      </w:tr>
      <w:tr w:rsidR="00BC7B06" w14:paraId="0BB91ADA" w14:textId="77777777">
        <w:trPr>
          <w:trHeight w:val="340"/>
        </w:trPr>
        <w:tc>
          <w:tcPr>
            <w:tcW w:w="2542" w:type="dxa"/>
            <w:tcBorders>
              <w:right w:val="single" w:sz="4" w:space="0" w:color="000000"/>
            </w:tcBorders>
            <w:tcMar>
              <w:top w:w="0" w:type="dxa"/>
              <w:left w:w="108" w:type="dxa"/>
              <w:bottom w:w="0" w:type="dxa"/>
              <w:right w:w="108" w:type="dxa"/>
            </w:tcMar>
            <w:vAlign w:val="bottom"/>
            <w:hideMark/>
          </w:tcPr>
          <w:p w14:paraId="0BB91AD8" w14:textId="77777777" w:rsidR="00BC7B06" w:rsidRDefault="006821BF">
            <w:pPr>
              <w:spacing w:line="240" w:lineRule="auto"/>
              <w:rPr>
                <w:color w:val="000000"/>
              </w:rPr>
            </w:pPr>
            <w:r>
              <w:rPr>
                <w:rFonts w:ascii="Aptos Narrow" w:eastAsia="Aptos Narrow" w:hAnsi="Aptos Narrow" w:cs="Aptos Narrow"/>
                <w:color w:val="000000"/>
              </w:rPr>
              <w:t>Road Tax only</w:t>
            </w:r>
          </w:p>
        </w:tc>
        <w:tc>
          <w:tcPr>
            <w:tcW w:w="997" w:type="dxa"/>
            <w:tcMar>
              <w:top w:w="0" w:type="dxa"/>
              <w:left w:w="113" w:type="dxa"/>
              <w:bottom w:w="0" w:type="dxa"/>
              <w:right w:w="108" w:type="dxa"/>
            </w:tcMar>
            <w:vAlign w:val="bottom"/>
            <w:hideMark/>
          </w:tcPr>
          <w:p w14:paraId="0BB91AD9" w14:textId="77777777" w:rsidR="00BC7B06" w:rsidRDefault="006821BF">
            <w:pPr>
              <w:spacing w:line="240" w:lineRule="auto"/>
              <w:jc w:val="center"/>
              <w:rPr>
                <w:color w:val="000000"/>
              </w:rPr>
            </w:pPr>
            <w:r>
              <w:rPr>
                <w:rFonts w:ascii="Aptos Narrow" w:eastAsia="Aptos Narrow" w:hAnsi="Aptos Narrow" w:cs="Aptos Narrow"/>
                <w:color w:val="000000"/>
              </w:rPr>
              <w:t>0.01%</w:t>
            </w:r>
          </w:p>
        </w:tc>
      </w:tr>
    </w:tbl>
    <w:p w14:paraId="0BB91ADB" w14:textId="77777777" w:rsidR="00BC7B06" w:rsidRDefault="00BC7B06">
      <w:pPr>
        <w:spacing w:after="160"/>
        <w:jc w:val="both"/>
      </w:pPr>
    </w:p>
    <w:p w14:paraId="0BB91ADC" w14:textId="77777777" w:rsidR="00BC7B06" w:rsidRDefault="00BC7B06">
      <w:pPr>
        <w:spacing w:line="240" w:lineRule="auto"/>
        <w:jc w:val="both"/>
        <w:rPr>
          <w:rFonts w:ascii="Arial" w:eastAsia="Arial" w:hAnsi="Arial" w:cs="Arial"/>
        </w:rPr>
      </w:pPr>
    </w:p>
    <w:p w14:paraId="0BB91ADD" w14:textId="669AA049" w:rsidR="00BC7B06" w:rsidRDefault="006821BF">
      <w:pPr>
        <w:spacing w:line="240" w:lineRule="auto"/>
        <w:jc w:val="both"/>
      </w:pPr>
      <w:r>
        <w:rPr>
          <w:rFonts w:ascii="Arial" w:eastAsia="Arial" w:hAnsi="Arial" w:cs="Arial"/>
          <w:b/>
          <w:bCs/>
          <w:u w:val="single"/>
        </w:rPr>
        <w:t xml:space="preserve">The impact of a 5p fuel duty rise results in a typical motor vehicle </w:t>
      </w:r>
      <w:r w:rsidR="00595372">
        <w:rPr>
          <w:rFonts w:ascii="Arial" w:eastAsia="Arial" w:hAnsi="Arial" w:cs="Arial"/>
          <w:b/>
          <w:bCs/>
          <w:u w:val="single"/>
        </w:rPr>
        <w:t>owning household</w:t>
      </w:r>
      <w:r>
        <w:rPr>
          <w:rFonts w:ascii="Arial" w:eastAsia="Arial" w:hAnsi="Arial" w:cs="Arial"/>
          <w:b/>
          <w:bCs/>
          <w:u w:val="single"/>
        </w:rPr>
        <w:t xml:space="preserve"> spending about £100 more each year, which is about seven percent of total spend on petrol or a </w:t>
      </w:r>
      <w:r w:rsidR="00595372">
        <w:rPr>
          <w:rFonts w:ascii="Arial" w:eastAsia="Arial" w:hAnsi="Arial" w:cs="Arial"/>
          <w:b/>
          <w:bCs/>
          <w:u w:val="single"/>
        </w:rPr>
        <w:t>month’s</w:t>
      </w:r>
      <w:r>
        <w:rPr>
          <w:rFonts w:ascii="Arial" w:eastAsia="Arial" w:hAnsi="Arial" w:cs="Arial"/>
          <w:b/>
          <w:bCs/>
          <w:u w:val="single"/>
        </w:rPr>
        <w:t xml:space="preserve"> worth of an annual household petrol budget. This equates to about £360 per year over the course of the rest of the parliament.</w:t>
      </w:r>
      <w:r>
        <w:rPr>
          <w:rFonts w:ascii="Arial" w:eastAsia="Arial" w:hAnsi="Arial" w:cs="Arial"/>
          <w:b/>
          <w:bCs/>
        </w:rPr>
        <w:t xml:space="preserve"> </w:t>
      </w:r>
      <w:r>
        <w:rPr>
          <w:rFonts w:ascii="Arial" w:eastAsia="Arial" w:hAnsi="Arial" w:cs="Arial"/>
        </w:rPr>
        <w:t xml:space="preserve">These impacts are both felt directly, via higher prices at the pump, but also through higher prices due to costs rising across the supply chain. </w:t>
      </w:r>
    </w:p>
    <w:p w14:paraId="0BB91ADE" w14:textId="77777777" w:rsidR="00BC7B06" w:rsidRDefault="00BC7B06">
      <w:pPr>
        <w:spacing w:line="240" w:lineRule="auto"/>
        <w:jc w:val="both"/>
        <w:rPr>
          <w:rFonts w:ascii="Arial" w:eastAsia="Arial" w:hAnsi="Arial" w:cs="Arial"/>
        </w:rPr>
      </w:pPr>
    </w:p>
    <w:p w14:paraId="0BB91ADF" w14:textId="4107C4CB" w:rsidR="00BC7B06" w:rsidRDefault="006821BF">
      <w:pPr>
        <w:spacing w:line="240" w:lineRule="auto"/>
        <w:jc w:val="both"/>
      </w:pPr>
      <w:r>
        <w:rPr>
          <w:rFonts w:ascii="Arial" w:eastAsia="Arial" w:hAnsi="Arial" w:cs="Arial"/>
          <w:b/>
          <w:bCs/>
          <w:u w:val="single"/>
        </w:rPr>
        <w:t>Across all households, this amounts to a £1.9bn increase in their annual living costs and £7.3bn over the course of the rest of the parliament.</w:t>
      </w:r>
      <w:r>
        <w:rPr>
          <w:rFonts w:ascii="Arial" w:eastAsia="Arial" w:hAnsi="Arial" w:cs="Arial"/>
        </w:rPr>
        <w:t xml:space="preserve"> This annual impact exceeds the National Highways capital budget for the </w:t>
      </w:r>
      <w:proofErr w:type="gramStart"/>
      <w:r>
        <w:rPr>
          <w:rFonts w:ascii="Arial" w:eastAsia="Arial" w:hAnsi="Arial" w:cs="Arial"/>
        </w:rPr>
        <w:t>financial year</w:t>
      </w:r>
      <w:proofErr w:type="gramEnd"/>
      <w:r>
        <w:rPr>
          <w:rFonts w:ascii="Arial" w:eastAsia="Arial" w:hAnsi="Arial" w:cs="Arial"/>
        </w:rPr>
        <w:t xml:space="preserve"> 2025 - 2026, which is £1.6 billion in capital funding for local highways maintenance in England. It is also </w:t>
      </w:r>
      <w:proofErr w:type="gramStart"/>
      <w:r>
        <w:rPr>
          <w:rFonts w:ascii="Arial" w:eastAsia="Arial" w:hAnsi="Arial" w:cs="Arial"/>
        </w:rPr>
        <w:t>similar to</w:t>
      </w:r>
      <w:proofErr w:type="gramEnd"/>
      <w:r>
        <w:rPr>
          <w:rFonts w:ascii="Arial" w:eastAsia="Arial" w:hAnsi="Arial" w:cs="Arial"/>
        </w:rPr>
        <w:t xml:space="preserve"> the amount of the Environment Agency's annual expenditure for the </w:t>
      </w:r>
      <w:proofErr w:type="gramStart"/>
      <w:r>
        <w:rPr>
          <w:rFonts w:ascii="Arial" w:eastAsia="Arial" w:hAnsi="Arial" w:cs="Arial"/>
        </w:rPr>
        <w:t>financial year</w:t>
      </w:r>
      <w:proofErr w:type="gramEnd"/>
      <w:r>
        <w:rPr>
          <w:rFonts w:ascii="Arial" w:eastAsia="Arial" w:hAnsi="Arial" w:cs="Arial"/>
        </w:rPr>
        <w:t xml:space="preserve"> ending March </w:t>
      </w:r>
      <w:r w:rsidR="00595372">
        <w:rPr>
          <w:rFonts w:ascii="Arial" w:eastAsia="Arial" w:hAnsi="Arial" w:cs="Arial"/>
        </w:rPr>
        <w:t>2024,</w:t>
      </w:r>
      <w:r>
        <w:rPr>
          <w:rFonts w:ascii="Arial" w:eastAsia="Arial" w:hAnsi="Arial" w:cs="Arial"/>
        </w:rPr>
        <w:t xml:space="preserve"> which was £2.2 billion. </w:t>
      </w:r>
    </w:p>
    <w:p w14:paraId="0BB91AE0" w14:textId="77777777" w:rsidR="00BC7B06" w:rsidRDefault="00BC7B06">
      <w:pPr>
        <w:spacing w:line="240" w:lineRule="auto"/>
        <w:jc w:val="both"/>
        <w:rPr>
          <w:rFonts w:ascii="Arial" w:eastAsia="Arial" w:hAnsi="Arial" w:cs="Arial"/>
        </w:rPr>
      </w:pPr>
    </w:p>
    <w:p w14:paraId="0BB91AE1" w14:textId="795D6FDA" w:rsidR="00BC7B06" w:rsidRDefault="006821BF">
      <w:pPr>
        <w:spacing w:line="240" w:lineRule="auto"/>
        <w:jc w:val="both"/>
      </w:pPr>
      <w:r>
        <w:rPr>
          <w:rFonts w:ascii="Arial" w:eastAsia="Arial" w:hAnsi="Arial" w:cs="Arial"/>
        </w:rPr>
        <w:t xml:space="preserve">The largest household price impacts are to the transport expenditure of household budgets, which makes up about 14% of overall household budgets. </w:t>
      </w:r>
      <w:r>
        <w:rPr>
          <w:rFonts w:ascii="Arial" w:eastAsia="Arial" w:hAnsi="Arial" w:cs="Arial"/>
          <w:b/>
          <w:bCs/>
          <w:u w:val="single"/>
        </w:rPr>
        <w:t xml:space="preserve">There are also significant impacts via supply chains on food and non-alcoholic drinks, which </w:t>
      </w:r>
      <w:r w:rsidR="008C5E6F">
        <w:rPr>
          <w:rFonts w:ascii="Arial" w:eastAsia="Arial" w:hAnsi="Arial" w:cs="Arial"/>
          <w:b/>
          <w:bCs/>
          <w:u w:val="single"/>
        </w:rPr>
        <w:t>make</w:t>
      </w:r>
      <w:r>
        <w:rPr>
          <w:rFonts w:ascii="Arial" w:eastAsia="Arial" w:hAnsi="Arial" w:cs="Arial"/>
          <w:b/>
          <w:bCs/>
          <w:u w:val="single"/>
        </w:rPr>
        <w:t xml:space="preserve"> up about 11% of consumer budgets. </w:t>
      </w:r>
    </w:p>
    <w:p w14:paraId="0BB91AE2" w14:textId="77777777" w:rsidR="00BC7B06" w:rsidRDefault="00BC7B06">
      <w:pPr>
        <w:spacing w:after="160"/>
        <w:jc w:val="both"/>
        <w:rPr>
          <w:b/>
          <w:bCs/>
        </w:rPr>
      </w:pPr>
    </w:p>
    <w:p w14:paraId="262FA7E5" w14:textId="77777777" w:rsidR="00694AB5" w:rsidRDefault="00694AB5">
      <w:pPr>
        <w:spacing w:after="160"/>
        <w:jc w:val="both"/>
        <w:rPr>
          <w:b/>
          <w:bCs/>
        </w:rPr>
      </w:pPr>
    </w:p>
    <w:p w14:paraId="3AD2816A" w14:textId="77777777" w:rsidR="00694AB5" w:rsidRDefault="00694AB5">
      <w:pPr>
        <w:spacing w:after="160"/>
        <w:jc w:val="both"/>
        <w:rPr>
          <w:b/>
          <w:bCs/>
        </w:rPr>
      </w:pPr>
    </w:p>
    <w:p w14:paraId="0F0827BE" w14:textId="77777777" w:rsidR="00694AB5" w:rsidRDefault="00694AB5">
      <w:pPr>
        <w:spacing w:after="160"/>
        <w:jc w:val="both"/>
        <w:rPr>
          <w:b/>
          <w:bCs/>
        </w:rPr>
      </w:pPr>
    </w:p>
    <w:p w14:paraId="0BB91AE3" w14:textId="1A36ADAF" w:rsidR="00BC7B06" w:rsidRDefault="006821BF">
      <w:pPr>
        <w:spacing w:after="160"/>
        <w:jc w:val="both"/>
      </w:pPr>
      <w:r>
        <w:rPr>
          <w:b/>
          <w:bCs/>
        </w:rPr>
        <w:lastRenderedPageBreak/>
        <w:t xml:space="preserve">Table 2: Overall spend </w:t>
      </w:r>
      <w:r w:rsidR="008C5E6F">
        <w:rPr>
          <w:b/>
          <w:bCs/>
        </w:rPr>
        <w:t>proportions.</w:t>
      </w:r>
      <w:r>
        <w:rPr>
          <w:b/>
          <w:bCs/>
        </w:rPr>
        <w:t xml:space="preserve"> </w:t>
      </w:r>
    </w:p>
    <w:p w14:paraId="0BB91AE4" w14:textId="77777777" w:rsidR="00BC7B06" w:rsidRDefault="006821BF">
      <w:pPr>
        <w:spacing w:after="160"/>
        <w:jc w:val="both"/>
      </w:pPr>
      <w:r>
        <w:rPr>
          <w:noProof/>
        </w:rPr>
        <w:drawing>
          <wp:inline distT="0" distB="0" distL="0" distR="0" wp14:anchorId="0BB91AF8" wp14:editId="0BB91AF9">
            <wp:extent cx="5705475" cy="2266950"/>
            <wp:effectExtent l="0" t="0" r="0" b="0"/>
            <wp:docPr id="100007" name="Picture 100007" descr="A table with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5705475" cy="2266950"/>
                    </a:xfrm>
                    <a:prstGeom prst="rect">
                      <a:avLst/>
                    </a:prstGeom>
                  </pic:spPr>
                </pic:pic>
              </a:graphicData>
            </a:graphic>
          </wp:inline>
        </w:drawing>
      </w:r>
    </w:p>
    <w:p w14:paraId="0BB91AE5" w14:textId="45DC68D3" w:rsidR="00BC7B06" w:rsidRDefault="006821BF">
      <w:pPr>
        <w:spacing w:after="160"/>
        <w:jc w:val="both"/>
      </w:pPr>
      <w:r>
        <w:rPr>
          <w:rFonts w:ascii="Arial" w:eastAsia="Arial" w:hAnsi="Arial" w:cs="Arial"/>
        </w:rPr>
        <w:t xml:space="preserve">Table 2 above shows the proportion of overall household expenditure spent on </w:t>
      </w:r>
      <w:proofErr w:type="gramStart"/>
      <w:r>
        <w:rPr>
          <w:rFonts w:ascii="Arial" w:eastAsia="Arial" w:hAnsi="Arial" w:cs="Arial"/>
        </w:rPr>
        <w:t>different categories</w:t>
      </w:r>
      <w:proofErr w:type="gramEnd"/>
      <w:r>
        <w:rPr>
          <w:rFonts w:ascii="Arial" w:eastAsia="Arial" w:hAnsi="Arial" w:cs="Arial"/>
        </w:rPr>
        <w:t xml:space="preserve"> of expenditure. This </w:t>
      </w:r>
      <w:proofErr w:type="gramStart"/>
      <w:r>
        <w:rPr>
          <w:rFonts w:ascii="Arial" w:eastAsia="Arial" w:hAnsi="Arial" w:cs="Arial"/>
        </w:rPr>
        <w:t>is broken</w:t>
      </w:r>
      <w:proofErr w:type="gramEnd"/>
      <w:r>
        <w:rPr>
          <w:rFonts w:ascii="Arial" w:eastAsia="Arial" w:hAnsi="Arial" w:cs="Arial"/>
        </w:rPr>
        <w:t xml:space="preserve"> down by the </w:t>
      </w:r>
      <w:proofErr w:type="gramStart"/>
      <w:r>
        <w:rPr>
          <w:rFonts w:ascii="Arial" w:eastAsia="Arial" w:hAnsi="Arial" w:cs="Arial"/>
        </w:rPr>
        <w:t>10</w:t>
      </w:r>
      <w:proofErr w:type="gramEnd"/>
      <w:r>
        <w:rPr>
          <w:rFonts w:ascii="Arial" w:eastAsia="Arial" w:hAnsi="Arial" w:cs="Arial"/>
        </w:rPr>
        <w:t xml:space="preserve"> income deciles as well </w:t>
      </w:r>
      <w:r w:rsidR="008C5E6F">
        <w:rPr>
          <w:rFonts w:ascii="Arial" w:eastAsia="Arial" w:hAnsi="Arial" w:cs="Arial"/>
        </w:rPr>
        <w:t>as</w:t>
      </w:r>
      <w:r>
        <w:rPr>
          <w:rFonts w:ascii="Arial" w:eastAsia="Arial" w:hAnsi="Arial" w:cs="Arial"/>
        </w:rPr>
        <w:t xml:space="preserve"> the overall average (the final column). It shows, for instance, that expenditure on transport items makes up </w:t>
      </w:r>
      <w:proofErr w:type="gramStart"/>
      <w:r>
        <w:rPr>
          <w:rFonts w:ascii="Arial" w:eastAsia="Arial" w:hAnsi="Arial" w:cs="Arial"/>
        </w:rPr>
        <w:t>relatively high</w:t>
      </w:r>
      <w:proofErr w:type="gramEnd"/>
      <w:r>
        <w:rPr>
          <w:rFonts w:ascii="Arial" w:eastAsia="Arial" w:hAnsi="Arial" w:cs="Arial"/>
        </w:rPr>
        <w:t xml:space="preserve"> share of total expenditure (14% on average). However, this share is lower for the lower deciles when compared to household expenditure from households in higher income deciles. This reflects lower rates of car ownership amongst those in lower income deciles.</w:t>
      </w:r>
    </w:p>
    <w:p w14:paraId="0BB91AE6" w14:textId="77777777" w:rsidR="00BC7B06" w:rsidRDefault="006821BF">
      <w:pPr>
        <w:spacing w:after="160"/>
        <w:jc w:val="both"/>
      </w:pPr>
      <w:r>
        <w:rPr>
          <w:rFonts w:ascii="Arial" w:eastAsia="Arial" w:hAnsi="Arial" w:cs="Arial"/>
        </w:rPr>
        <w:t xml:space="preserve">In contrast, ‘Food and non-alcoholic drinks’ make up </w:t>
      </w:r>
      <w:proofErr w:type="gramStart"/>
      <w:r>
        <w:rPr>
          <w:rFonts w:ascii="Arial" w:eastAsia="Arial" w:hAnsi="Arial" w:cs="Arial"/>
        </w:rPr>
        <w:t>relatively higher</w:t>
      </w:r>
      <w:proofErr w:type="gramEnd"/>
      <w:r>
        <w:rPr>
          <w:rFonts w:ascii="Arial" w:eastAsia="Arial" w:hAnsi="Arial" w:cs="Arial"/>
        </w:rPr>
        <w:t xml:space="preserve"> share of total expenditure for lower income deciles when compared to expenditure shares of those in higher deciles.</w:t>
      </w:r>
    </w:p>
    <w:p w14:paraId="0BB91AE7" w14:textId="77777777" w:rsidR="00BC7B06" w:rsidRDefault="006821BF">
      <w:pPr>
        <w:spacing w:after="160"/>
        <w:jc w:val="both"/>
      </w:pPr>
      <w:r>
        <w:rPr>
          <w:b/>
          <w:bCs/>
        </w:rPr>
        <w:t>Table 3: Comparative price rise impacts (% of total)</w:t>
      </w:r>
      <w:r>
        <w:rPr>
          <w:rFonts w:ascii="Arial" w:eastAsia="Arial" w:hAnsi="Arial" w:cs="Arial"/>
          <w:color w:val="000000"/>
          <w:sz w:val="16"/>
          <w:szCs w:val="16"/>
          <w:vertAlign w:val="superscript"/>
        </w:rPr>
        <w:footnoteReference w:id="5"/>
      </w:r>
    </w:p>
    <w:p w14:paraId="0BB91AE8" w14:textId="77777777" w:rsidR="00BC7B06" w:rsidRDefault="006821BF">
      <w:pPr>
        <w:spacing w:after="160"/>
        <w:jc w:val="both"/>
      </w:pPr>
      <w:r>
        <w:rPr>
          <w:noProof/>
        </w:rPr>
        <w:drawing>
          <wp:inline distT="0" distB="0" distL="0" distR="0" wp14:anchorId="0BB91AFA" wp14:editId="0BB91AFB">
            <wp:extent cx="5753100" cy="2066925"/>
            <wp:effectExtent l="0" t="0" r="0" b="0"/>
            <wp:docPr id="100009" name="Picture 100009"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5753100" cy="2066925"/>
                    </a:xfrm>
                    <a:prstGeom prst="rect">
                      <a:avLst/>
                    </a:prstGeom>
                  </pic:spPr>
                </pic:pic>
              </a:graphicData>
            </a:graphic>
          </wp:inline>
        </w:drawing>
      </w:r>
    </w:p>
    <w:p w14:paraId="0BB91AE9" w14:textId="77777777" w:rsidR="00BC7B06" w:rsidRDefault="006821BF">
      <w:pPr>
        <w:spacing w:after="160"/>
        <w:jc w:val="both"/>
      </w:pPr>
      <w:r>
        <w:rPr>
          <w:rFonts w:ascii="Arial" w:eastAsia="Arial" w:hAnsi="Arial" w:cs="Arial"/>
        </w:rPr>
        <w:t xml:space="preserve">Table 3, above, shows the weighted (by expenditure) inflationary changes for each expenditure group. Each column sums to 100%. It shows that </w:t>
      </w:r>
      <w:proofErr w:type="gramStart"/>
      <w:r>
        <w:rPr>
          <w:rFonts w:ascii="Arial" w:eastAsia="Arial" w:hAnsi="Arial" w:cs="Arial"/>
          <w:b/>
          <w:bCs/>
          <w:u w:val="single"/>
        </w:rPr>
        <w:t>most of</w:t>
      </w:r>
      <w:proofErr w:type="gramEnd"/>
      <w:r>
        <w:rPr>
          <w:rFonts w:ascii="Arial" w:eastAsia="Arial" w:hAnsi="Arial" w:cs="Arial"/>
          <w:b/>
          <w:bCs/>
          <w:u w:val="single"/>
        </w:rPr>
        <w:t xml:space="preserve"> the price change </w:t>
      </w:r>
      <w:proofErr w:type="gramStart"/>
      <w:r>
        <w:rPr>
          <w:rFonts w:ascii="Arial" w:eastAsia="Arial" w:hAnsi="Arial" w:cs="Arial"/>
          <w:b/>
          <w:bCs/>
          <w:u w:val="single"/>
        </w:rPr>
        <w:t>as a result of</w:t>
      </w:r>
      <w:proofErr w:type="gramEnd"/>
      <w:r>
        <w:rPr>
          <w:rFonts w:ascii="Arial" w:eastAsia="Arial" w:hAnsi="Arial" w:cs="Arial"/>
          <w:b/>
          <w:bCs/>
          <w:u w:val="single"/>
        </w:rPr>
        <w:t xml:space="preserve"> a fuel duty increase </w:t>
      </w:r>
      <w:proofErr w:type="gramStart"/>
      <w:r>
        <w:rPr>
          <w:rFonts w:ascii="Arial" w:eastAsia="Arial" w:hAnsi="Arial" w:cs="Arial"/>
          <w:b/>
          <w:bCs/>
          <w:u w:val="single"/>
        </w:rPr>
        <w:t>is dominated</w:t>
      </w:r>
      <w:proofErr w:type="gramEnd"/>
      <w:r>
        <w:rPr>
          <w:rFonts w:ascii="Arial" w:eastAsia="Arial" w:hAnsi="Arial" w:cs="Arial"/>
          <w:b/>
          <w:bCs/>
          <w:u w:val="single"/>
        </w:rPr>
        <w:t xml:space="preserve"> by changes to household transport costs.</w:t>
      </w:r>
      <w:r>
        <w:rPr>
          <w:rFonts w:ascii="Arial" w:eastAsia="Arial" w:hAnsi="Arial" w:cs="Arial"/>
          <w:b/>
          <w:bCs/>
        </w:rPr>
        <w:t xml:space="preserve"> </w:t>
      </w:r>
      <w:r>
        <w:rPr>
          <w:rFonts w:ascii="Arial" w:eastAsia="Arial" w:hAnsi="Arial" w:cs="Arial"/>
        </w:rPr>
        <w:t xml:space="preserve">This </w:t>
      </w:r>
      <w:proofErr w:type="gramStart"/>
      <w:r>
        <w:rPr>
          <w:rFonts w:ascii="Arial" w:eastAsia="Arial" w:hAnsi="Arial" w:cs="Arial"/>
        </w:rPr>
        <w:t>is expected</w:t>
      </w:r>
      <w:proofErr w:type="gramEnd"/>
      <w:r>
        <w:rPr>
          <w:rFonts w:ascii="Arial" w:eastAsia="Arial" w:hAnsi="Arial" w:cs="Arial"/>
        </w:rPr>
        <w:t xml:space="preserve"> as </w:t>
      </w:r>
      <w:proofErr w:type="gramStart"/>
      <w:r>
        <w:rPr>
          <w:rFonts w:ascii="Arial" w:eastAsia="Arial" w:hAnsi="Arial" w:cs="Arial"/>
        </w:rPr>
        <w:t>the majority of</w:t>
      </w:r>
      <w:proofErr w:type="gramEnd"/>
      <w:r>
        <w:rPr>
          <w:rFonts w:ascii="Arial" w:eastAsia="Arial" w:hAnsi="Arial" w:cs="Arial"/>
        </w:rPr>
        <w:t xml:space="preserve"> impacts will </w:t>
      </w:r>
      <w:proofErr w:type="gramStart"/>
      <w:r>
        <w:rPr>
          <w:rFonts w:ascii="Arial" w:eastAsia="Arial" w:hAnsi="Arial" w:cs="Arial"/>
        </w:rPr>
        <w:t>be felt</w:t>
      </w:r>
      <w:proofErr w:type="gramEnd"/>
      <w:r>
        <w:rPr>
          <w:rFonts w:ascii="Arial" w:eastAsia="Arial" w:hAnsi="Arial" w:cs="Arial"/>
        </w:rPr>
        <w:t xml:space="preserve"> directly through </w:t>
      </w:r>
      <w:r>
        <w:rPr>
          <w:rFonts w:ascii="Arial" w:eastAsia="Arial" w:hAnsi="Arial" w:cs="Arial"/>
        </w:rPr>
        <w:lastRenderedPageBreak/>
        <w:t>increased fuel prices faced by consumers, as increased fuel duty increases petrol and diesel prices at the pump. However,</w:t>
      </w:r>
      <w:r>
        <w:rPr>
          <w:rFonts w:ascii="Arial" w:eastAsia="Arial" w:hAnsi="Arial" w:cs="Arial"/>
          <w:b/>
          <w:bCs/>
        </w:rPr>
        <w:t xml:space="preserve"> </w:t>
      </w:r>
      <w:r>
        <w:rPr>
          <w:rFonts w:ascii="Arial" w:eastAsia="Arial" w:hAnsi="Arial" w:cs="Arial"/>
          <w:b/>
          <w:bCs/>
          <w:u w:val="single"/>
        </w:rPr>
        <w:t xml:space="preserve">for lower deciles – poorer households – </w:t>
      </w:r>
      <w:proofErr w:type="gramStart"/>
      <w:r>
        <w:rPr>
          <w:rFonts w:ascii="Arial" w:eastAsia="Arial" w:hAnsi="Arial" w:cs="Arial"/>
          <w:b/>
          <w:bCs/>
          <w:u w:val="single"/>
        </w:rPr>
        <w:t>relatively large</w:t>
      </w:r>
      <w:proofErr w:type="gramEnd"/>
      <w:r>
        <w:rPr>
          <w:rFonts w:ascii="Arial" w:eastAsia="Arial" w:hAnsi="Arial" w:cs="Arial"/>
          <w:b/>
          <w:bCs/>
          <w:u w:val="single"/>
        </w:rPr>
        <w:t xml:space="preserve"> supply chain impacts </w:t>
      </w:r>
      <w:proofErr w:type="gramStart"/>
      <w:r>
        <w:rPr>
          <w:rFonts w:ascii="Arial" w:eastAsia="Arial" w:hAnsi="Arial" w:cs="Arial"/>
          <w:b/>
          <w:bCs/>
          <w:u w:val="single"/>
        </w:rPr>
        <w:t>are felt</w:t>
      </w:r>
      <w:proofErr w:type="gramEnd"/>
      <w:r>
        <w:rPr>
          <w:rFonts w:ascii="Arial" w:eastAsia="Arial" w:hAnsi="Arial" w:cs="Arial"/>
          <w:b/>
          <w:bCs/>
          <w:u w:val="single"/>
        </w:rPr>
        <w:t xml:space="preserve"> via increased food and drink and energy costs. These are </w:t>
      </w:r>
      <w:proofErr w:type="gramStart"/>
      <w:r>
        <w:rPr>
          <w:rFonts w:ascii="Arial" w:eastAsia="Arial" w:hAnsi="Arial" w:cs="Arial"/>
          <w:b/>
          <w:bCs/>
          <w:u w:val="single"/>
        </w:rPr>
        <w:t>particular areas</w:t>
      </w:r>
      <w:proofErr w:type="gramEnd"/>
      <w:r>
        <w:rPr>
          <w:rFonts w:ascii="Arial" w:eastAsia="Arial" w:hAnsi="Arial" w:cs="Arial"/>
          <w:b/>
          <w:bCs/>
          <w:u w:val="single"/>
        </w:rPr>
        <w:t xml:space="preserve"> that households have been feeling cost of living pressures in recent years.</w:t>
      </w:r>
      <w:r>
        <w:rPr>
          <w:rFonts w:ascii="Arial" w:eastAsia="Arial" w:hAnsi="Arial" w:cs="Arial"/>
          <w:b/>
          <w:bCs/>
        </w:rPr>
        <w:t xml:space="preserve"> </w:t>
      </w:r>
    </w:p>
    <w:p w14:paraId="75A9F518"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0C94E4E5" w14:textId="77777777" w:rsidR="006821BF" w:rsidRPr="006821BF" w:rsidRDefault="006821BF" w:rsidP="006821BF"/>
    <w:p w14:paraId="0EEB9AF8"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4EB26903"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4486FF5C"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22E396BF"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6FB1A11E"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7E582617"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7F2F4397"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7F174228"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728CDAF9"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66B5D67A" w14:textId="77777777" w:rsidR="006821BF" w:rsidRPr="006821BF" w:rsidRDefault="006821BF" w:rsidP="006821BF"/>
    <w:p w14:paraId="5B6624A9" w14:textId="77777777" w:rsidR="006821BF" w:rsidRDefault="006821BF">
      <w:pPr>
        <w:pStyle w:val="Heading1"/>
        <w:spacing w:before="360" w:after="80"/>
        <w:rPr>
          <w:rFonts w:ascii="Aptos Display" w:eastAsia="Aptos Display" w:hAnsi="Aptos Display" w:cs="Aptos Display"/>
          <w:b w:val="0"/>
          <w:bCs w:val="0"/>
          <w:color w:val="0F4761"/>
          <w:sz w:val="40"/>
          <w:szCs w:val="40"/>
        </w:rPr>
      </w:pPr>
    </w:p>
    <w:p w14:paraId="0BB91AEA" w14:textId="471DDBBD" w:rsidR="00BC7B06" w:rsidRDefault="006821BF">
      <w:pPr>
        <w:pStyle w:val="Heading1"/>
        <w:spacing w:before="360" w:after="80"/>
        <w:rPr>
          <w:sz w:val="40"/>
          <w:szCs w:val="40"/>
        </w:rPr>
      </w:pPr>
      <w:r>
        <w:rPr>
          <w:rFonts w:ascii="Aptos Display" w:eastAsia="Aptos Display" w:hAnsi="Aptos Display" w:cs="Aptos Display"/>
          <w:b w:val="0"/>
          <w:bCs w:val="0"/>
          <w:color w:val="0F4761"/>
          <w:sz w:val="40"/>
          <w:szCs w:val="40"/>
        </w:rPr>
        <w:t>C</w:t>
      </w:r>
      <w:r>
        <w:rPr>
          <w:rFonts w:ascii="Aptos Display" w:eastAsia="Aptos Display" w:hAnsi="Aptos Display" w:cs="Aptos Display"/>
          <w:b w:val="0"/>
          <w:bCs w:val="0"/>
          <w:color w:val="0F4761"/>
          <w:sz w:val="40"/>
          <w:szCs w:val="40"/>
        </w:rPr>
        <w:t>onclusion</w:t>
      </w:r>
    </w:p>
    <w:p w14:paraId="0BB91AEB" w14:textId="3F2670DC" w:rsidR="00BC7B06" w:rsidRDefault="006821BF">
      <w:pPr>
        <w:spacing w:after="160"/>
        <w:jc w:val="both"/>
      </w:pPr>
      <w:r>
        <w:rPr>
          <w:rFonts w:ascii="Arial" w:eastAsia="Arial" w:hAnsi="Arial" w:cs="Arial"/>
        </w:rPr>
        <w:t xml:space="preserve">An increase in fuel duty is likely to have the most significant </w:t>
      </w:r>
      <w:r w:rsidR="008C5E6F">
        <w:rPr>
          <w:rFonts w:ascii="Arial" w:eastAsia="Arial" w:hAnsi="Arial" w:cs="Arial"/>
        </w:rPr>
        <w:t>impact</w:t>
      </w:r>
      <w:r>
        <w:rPr>
          <w:rFonts w:ascii="Arial" w:eastAsia="Arial" w:hAnsi="Arial" w:cs="Arial"/>
        </w:rPr>
        <w:t xml:space="preserve"> on final consumer prices via direct increases </w:t>
      </w:r>
      <w:proofErr w:type="gramStart"/>
      <w:r>
        <w:rPr>
          <w:rFonts w:ascii="Arial" w:eastAsia="Arial" w:hAnsi="Arial" w:cs="Arial"/>
        </w:rPr>
        <w:t>to</w:t>
      </w:r>
      <w:proofErr w:type="gramEnd"/>
      <w:r>
        <w:rPr>
          <w:rFonts w:ascii="Arial" w:eastAsia="Arial" w:hAnsi="Arial" w:cs="Arial"/>
        </w:rPr>
        <w:t xml:space="preserve"> petrol prices that households face. There will also be additional price increases as road freight costs </w:t>
      </w:r>
      <w:proofErr w:type="gramStart"/>
      <w:r>
        <w:rPr>
          <w:rFonts w:ascii="Arial" w:eastAsia="Arial" w:hAnsi="Arial" w:cs="Arial"/>
        </w:rPr>
        <w:t>to</w:t>
      </w:r>
      <w:proofErr w:type="gramEnd"/>
      <w:r>
        <w:rPr>
          <w:rFonts w:ascii="Arial" w:eastAsia="Arial" w:hAnsi="Arial" w:cs="Arial"/>
        </w:rPr>
        <w:t xml:space="preserve"> firms increase which will </w:t>
      </w:r>
      <w:proofErr w:type="gramStart"/>
      <w:r>
        <w:rPr>
          <w:rFonts w:ascii="Arial" w:eastAsia="Arial" w:hAnsi="Arial" w:cs="Arial"/>
        </w:rPr>
        <w:t>be passed</w:t>
      </w:r>
      <w:proofErr w:type="gramEnd"/>
      <w:r>
        <w:rPr>
          <w:rFonts w:ascii="Arial" w:eastAsia="Arial" w:hAnsi="Arial" w:cs="Arial"/>
        </w:rPr>
        <w:t xml:space="preserve"> on to consumers via the supply chain. </w:t>
      </w:r>
    </w:p>
    <w:p w14:paraId="0BB91AEC" w14:textId="77777777" w:rsidR="00BC7B06" w:rsidRDefault="006821BF">
      <w:pPr>
        <w:spacing w:after="160"/>
        <w:jc w:val="both"/>
      </w:pPr>
      <w:r>
        <w:rPr>
          <w:rFonts w:ascii="Arial" w:eastAsia="Arial" w:hAnsi="Arial" w:cs="Arial"/>
        </w:rPr>
        <w:t xml:space="preserve">Whilst this policy will raise revenue for the government, the direct and indirect </w:t>
      </w:r>
      <w:proofErr w:type="gramStart"/>
      <w:r>
        <w:rPr>
          <w:rFonts w:ascii="Arial" w:eastAsia="Arial" w:hAnsi="Arial" w:cs="Arial"/>
        </w:rPr>
        <w:t>impacts</w:t>
      </w:r>
      <w:proofErr w:type="gramEnd"/>
      <w:r>
        <w:rPr>
          <w:rFonts w:ascii="Arial" w:eastAsia="Arial" w:hAnsi="Arial" w:cs="Arial"/>
        </w:rPr>
        <w:t xml:space="preserve"> on consumers via higher prices is likely to be large. </w:t>
      </w:r>
      <w:r>
        <w:rPr>
          <w:rFonts w:ascii="Arial" w:eastAsia="Arial" w:hAnsi="Arial" w:cs="Arial"/>
          <w:b/>
          <w:bCs/>
          <w:u w:val="single"/>
        </w:rPr>
        <w:t xml:space="preserve">A 5p fuel duty increase </w:t>
      </w:r>
      <w:proofErr w:type="gramStart"/>
      <w:r>
        <w:rPr>
          <w:rFonts w:ascii="Arial" w:eastAsia="Arial" w:hAnsi="Arial" w:cs="Arial"/>
          <w:b/>
          <w:bCs/>
          <w:u w:val="single"/>
        </w:rPr>
        <w:t>is estimated</w:t>
      </w:r>
      <w:proofErr w:type="gramEnd"/>
      <w:r>
        <w:rPr>
          <w:rFonts w:ascii="Arial" w:eastAsia="Arial" w:hAnsi="Arial" w:cs="Arial"/>
          <w:b/>
          <w:bCs/>
          <w:u w:val="single"/>
        </w:rPr>
        <w:t xml:space="preserve"> to increase overall consumer prices by 0.3%, and overall household annual living costs by </w:t>
      </w:r>
      <w:proofErr w:type="gramStart"/>
      <w:r>
        <w:rPr>
          <w:rFonts w:ascii="Arial" w:eastAsia="Arial" w:hAnsi="Arial" w:cs="Arial"/>
          <w:b/>
          <w:bCs/>
          <w:u w:val="single"/>
        </w:rPr>
        <w:t>almost £</w:t>
      </w:r>
      <w:proofErr w:type="gramEnd"/>
      <w:r>
        <w:rPr>
          <w:rFonts w:ascii="Arial" w:eastAsia="Arial" w:hAnsi="Arial" w:cs="Arial"/>
          <w:b/>
          <w:bCs/>
          <w:u w:val="single"/>
        </w:rPr>
        <w:t>2bn.</w:t>
      </w:r>
      <w:r>
        <w:rPr>
          <w:rFonts w:ascii="Arial" w:eastAsia="Arial" w:hAnsi="Arial" w:cs="Arial"/>
        </w:rPr>
        <w:t xml:space="preserve"> This is equivalent to the budget of a small UK government agency. The cost of living has been a particular challenge </w:t>
      </w:r>
      <w:proofErr w:type="gramStart"/>
      <w:r>
        <w:rPr>
          <w:rFonts w:ascii="Arial" w:eastAsia="Arial" w:hAnsi="Arial" w:cs="Arial"/>
        </w:rPr>
        <w:t>of</w:t>
      </w:r>
      <w:proofErr w:type="gramEnd"/>
      <w:r>
        <w:rPr>
          <w:rFonts w:ascii="Arial" w:eastAsia="Arial" w:hAnsi="Arial" w:cs="Arial"/>
        </w:rPr>
        <w:t xml:space="preserve"> UK households over recent years, and this potential policy change could add fuel to this fire</w:t>
      </w:r>
      <w:proofErr w:type="gramStart"/>
      <w:r>
        <w:rPr>
          <w:rFonts w:ascii="Arial" w:eastAsia="Arial" w:hAnsi="Arial" w:cs="Arial"/>
        </w:rPr>
        <w:t xml:space="preserve">.  </w:t>
      </w:r>
      <w:proofErr w:type="gramEnd"/>
    </w:p>
    <w:p w14:paraId="0BB91AED" w14:textId="77777777" w:rsidR="00BC7B06" w:rsidRDefault="00BC7B06">
      <w:pPr>
        <w:spacing w:after="160"/>
        <w:jc w:val="both"/>
        <w:rPr>
          <w:rFonts w:ascii="Arial" w:eastAsia="Arial" w:hAnsi="Arial" w:cs="Arial"/>
        </w:rPr>
      </w:pPr>
    </w:p>
    <w:p w14:paraId="0BB91AF1" w14:textId="77777777" w:rsidR="00BC7B06" w:rsidRDefault="00BC7B06">
      <w:pPr>
        <w:spacing w:after="160"/>
        <w:jc w:val="both"/>
      </w:pPr>
    </w:p>
    <w:sectPr w:rsidR="00BC7B06">
      <w:footerReference w:type="default" r:id="rId1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1B00" w14:textId="77777777" w:rsidR="006821BF" w:rsidRDefault="006821BF">
      <w:pPr>
        <w:spacing w:line="240" w:lineRule="auto"/>
      </w:pPr>
      <w:r>
        <w:separator/>
      </w:r>
    </w:p>
  </w:endnote>
  <w:endnote w:type="continuationSeparator" w:id="0">
    <w:p w14:paraId="0BB91B02" w14:textId="77777777" w:rsidR="006821BF" w:rsidRDefault="0068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312844"/>
      <w:docPartObj>
        <w:docPartGallery w:val="Page Numbers (Bottom of Page)"/>
        <w:docPartUnique/>
      </w:docPartObj>
    </w:sdtPr>
    <w:sdtEndPr>
      <w:rPr>
        <w:noProof/>
      </w:rPr>
    </w:sdtEndPr>
    <w:sdtContent>
      <w:p w14:paraId="5469072D" w14:textId="732A7F8F" w:rsidR="00ED374C" w:rsidRDefault="00ED3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0A1A4" w14:textId="77777777" w:rsidR="00ED374C" w:rsidRDefault="00ED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1AFC" w14:textId="77777777" w:rsidR="00BC7B06" w:rsidRDefault="006821BF">
      <w:pPr>
        <w:spacing w:line="240" w:lineRule="auto"/>
      </w:pPr>
      <w:r>
        <w:separator/>
      </w:r>
    </w:p>
  </w:footnote>
  <w:footnote w:type="continuationSeparator" w:id="0">
    <w:p w14:paraId="0BB91AFD" w14:textId="77777777" w:rsidR="00BC7B06" w:rsidRDefault="006821BF">
      <w:pPr>
        <w:spacing w:line="240" w:lineRule="auto"/>
      </w:pPr>
      <w:r>
        <w:continuationSeparator/>
      </w:r>
    </w:p>
  </w:footnote>
  <w:footnote w:id="1">
    <w:p w14:paraId="0BB91AFE" w14:textId="77777777" w:rsidR="00BC7B06" w:rsidRDefault="006821BF">
      <w:pPr>
        <w:spacing w:line="240" w:lineRule="auto"/>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52.95 + 10.59 = 63.54.</w:t>
      </w:r>
    </w:p>
  </w:footnote>
  <w:footnote w:id="2">
    <w:p w14:paraId="0BB91AFF" w14:textId="77777777" w:rsidR="00BC7B06" w:rsidRDefault="006821BF">
      <w:pPr>
        <w:spacing w:line="240" w:lineRule="auto"/>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w:t>
      </w:r>
      <w:hyperlink r:id="rId1" w:history="1">
        <w:r>
          <w:rPr>
            <w:rFonts w:ascii="Arial" w:eastAsia="Arial" w:hAnsi="Arial" w:cs="Arial"/>
            <w:color w:val="467886"/>
            <w:sz w:val="16"/>
            <w:szCs w:val="16"/>
            <w:u w:val="single" w:color="467886"/>
          </w:rPr>
          <w:t>https://www.racfoundation.org/data/volume-petrol-diesel-consumed-uk-over-time-by-year</w:t>
        </w:r>
      </w:hyperlink>
      <w:r>
        <w:rPr>
          <w:rFonts w:ascii="Arial" w:eastAsia="Arial" w:hAnsi="Arial" w:cs="Arial"/>
          <w:sz w:val="16"/>
          <w:szCs w:val="16"/>
        </w:rPr>
        <w:t xml:space="preserve"> </w:t>
      </w:r>
      <w:hyperlink r:id="rId2" w:history="1">
        <w:r>
          <w:rPr>
            <w:rFonts w:ascii="Arial" w:eastAsia="Arial" w:hAnsi="Arial" w:cs="Arial"/>
            <w:color w:val="467886"/>
            <w:sz w:val="16"/>
            <w:szCs w:val="16"/>
            <w:u w:val="single" w:color="467886"/>
          </w:rPr>
          <w:t>https://assets.publishing.service.gov.uk/media/685a9f35db207fc18744d608/quarterly-energy-prices-june-2025.pdf</w:t>
        </w:r>
      </w:hyperlink>
      <w:r>
        <w:rPr>
          <w:rFonts w:ascii="Arial" w:eastAsia="Arial" w:hAnsi="Arial" w:cs="Arial"/>
          <w:sz w:val="16"/>
          <w:szCs w:val="16"/>
        </w:rPr>
        <w:t xml:space="preserve"> </w:t>
      </w:r>
    </w:p>
  </w:footnote>
  <w:footnote w:id="3">
    <w:p w14:paraId="0BB91B00" w14:textId="77777777" w:rsidR="00BC7B06" w:rsidRDefault="006821BF">
      <w:pPr>
        <w:spacing w:line="240" w:lineRule="auto"/>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FUEL TAX INCIDENCE AND SUPPLY CONDITIONS – Justin Marion Eric Muehlegger 2011 -  </w:t>
      </w:r>
      <w:hyperlink r:id="rId3" w:anchor=":~:text=Fuel%20Tax%20Incidence%20and%20Supply%20Conditions%20Justin%20Marion,predictions%20of%20the%20tax%20incidence%20model%20is%20sparse" w:history="1">
        <w:r>
          <w:rPr>
            <w:rFonts w:ascii="Arial" w:eastAsia="Arial" w:hAnsi="Arial" w:cs="Arial"/>
            <w:color w:val="467886"/>
            <w:sz w:val="16"/>
            <w:szCs w:val="16"/>
            <w:u w:val="single" w:color="467886"/>
          </w:rPr>
          <w:t>https://www.nber.org/system/files/working_papers/w16863/w16863.pdf#:~:text=Fuel%20Tax%20Incidence%20and%20Supply%20Conditions%20Justin%20Marion,predictions%20of%20the%20tax%20incidence%20model%20is%20sparse</w:t>
        </w:r>
      </w:hyperlink>
      <w:r>
        <w:rPr>
          <w:rFonts w:ascii="Arial" w:eastAsia="Arial" w:hAnsi="Arial" w:cs="Arial"/>
          <w:sz w:val="16"/>
          <w:szCs w:val="16"/>
        </w:rPr>
        <w:t xml:space="preserve">. </w:t>
      </w:r>
      <w:r>
        <w:rPr>
          <w:rFonts w:ascii="Arial" w:eastAsia="Arial" w:hAnsi="Arial" w:cs="Arial"/>
          <w:color w:val="222222"/>
          <w:sz w:val="16"/>
          <w:szCs w:val="16"/>
        </w:rPr>
        <w:t>Pass-</w:t>
      </w:r>
      <w:r>
        <w:rPr>
          <w:rFonts w:ascii="Arial" w:eastAsia="Arial" w:hAnsi="Arial" w:cs="Arial"/>
          <w:sz w:val="16"/>
          <w:szCs w:val="16"/>
        </w:rPr>
        <w:t xml:space="preserve">Through, Market Power and Tax Incidence in the Retail Fuel Industry- 2025;  CMA - Supply of road fuel in the United Kingdom market study - Final Report  2023 </w:t>
      </w:r>
      <w:hyperlink r:id="rId4" w:history="1">
        <w:r>
          <w:rPr>
            <w:rFonts w:ascii="Arial" w:eastAsia="Arial" w:hAnsi="Arial" w:cs="Arial"/>
            <w:color w:val="467886"/>
            <w:sz w:val="16"/>
            <w:szCs w:val="16"/>
            <w:u w:val="single" w:color="467886"/>
          </w:rPr>
          <w:t>https://assets.publishing.service.gov.uk/media/64a280e845b6a200123d46e7/Supply_of_road_fuel_in_the_United_Kingdom_market_study_Final_Report.pdf</w:t>
        </w:r>
      </w:hyperlink>
      <w:r>
        <w:rPr>
          <w:rFonts w:ascii="Arial" w:eastAsia="Arial" w:hAnsi="Arial" w:cs="Arial"/>
          <w:sz w:val="16"/>
          <w:szCs w:val="16"/>
        </w:rPr>
        <w:t xml:space="preserve">  </w:t>
      </w:r>
    </w:p>
  </w:footnote>
  <w:footnote w:id="4">
    <w:p w14:paraId="0BB91B01" w14:textId="77777777" w:rsidR="00BC7B06" w:rsidRDefault="006821BF">
      <w:pPr>
        <w:spacing w:line="240" w:lineRule="auto"/>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w:t>
      </w:r>
      <w:hyperlink r:id="rId5" w:history="1">
        <w:r>
          <w:rPr>
            <w:rFonts w:ascii="Arial" w:eastAsia="Arial" w:hAnsi="Arial" w:cs="Arial"/>
            <w:color w:val="467886"/>
            <w:sz w:val="16"/>
            <w:szCs w:val="16"/>
            <w:u w:val="single" w:color="467886"/>
          </w:rPr>
          <w:t>https://www.gov.uk/government/collections/transport-statistics-great-britain</w:t>
        </w:r>
      </w:hyperlink>
      <w:r>
        <w:rPr>
          <w:rFonts w:ascii="Arial" w:eastAsia="Arial" w:hAnsi="Arial" w:cs="Arial"/>
          <w:sz w:val="16"/>
          <w:szCs w:val="16"/>
        </w:rPr>
        <w:t xml:space="preserve"> </w:t>
      </w:r>
      <w:hyperlink r:id="rId6" w:history="1">
        <w:r>
          <w:rPr>
            <w:rFonts w:ascii="Arial" w:eastAsia="Arial" w:hAnsi="Arial" w:cs="Arial"/>
            <w:color w:val="467886"/>
            <w:sz w:val="16"/>
            <w:szCs w:val="16"/>
            <w:u w:val="single" w:color="467886"/>
          </w:rPr>
          <w:t>https://www.ons.gov.uk/surveys/informationforhouseholdsandindividuals/householdandindividualsurveys/livingcostsandfoodsurvey</w:t>
        </w:r>
      </w:hyperlink>
      <w:r>
        <w:rPr>
          <w:rFonts w:ascii="Arial" w:eastAsia="Arial" w:hAnsi="Arial" w:cs="Arial"/>
          <w:sz w:val="16"/>
          <w:szCs w:val="16"/>
        </w:rPr>
        <w:t xml:space="preserve"> </w:t>
      </w:r>
    </w:p>
  </w:footnote>
  <w:footnote w:id="5">
    <w:p w14:paraId="0BB91B02" w14:textId="77777777" w:rsidR="00BC7B06" w:rsidRDefault="006821BF">
      <w:pPr>
        <w:spacing w:after="160"/>
        <w:rPr>
          <w:rFonts w:ascii="Arial" w:eastAsia="Arial" w:hAnsi="Arial" w:cs="Arial"/>
          <w:color w:val="000000"/>
          <w:sz w:val="16"/>
          <w:szCs w:val="16"/>
          <w:vertAlign w:val="superscript"/>
        </w:rPr>
      </w:pPr>
      <w:r>
        <w:rPr>
          <w:rStyle w:val="FootnoteReference"/>
          <w:rFonts w:ascii="Arial" w:eastAsia="Arial" w:hAnsi="Arial" w:cs="Arial"/>
          <w:color w:val="000000"/>
          <w:sz w:val="16"/>
          <w:szCs w:val="16"/>
        </w:rPr>
        <w:footnoteRef/>
      </w:r>
      <w:r>
        <w:rPr>
          <w:rFonts w:ascii="Arial" w:eastAsia="Arial" w:hAnsi="Arial" w:cs="Arial"/>
          <w:sz w:val="16"/>
          <w:szCs w:val="16"/>
        </w:rPr>
        <w:t xml:space="preserve"> This is based on a 2p Fuel Duty (only).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9DA8D98">
      <w:start w:val="1"/>
      <w:numFmt w:val="decimal"/>
      <w:lvlText w:val="%1."/>
      <w:lvlJc w:val="left"/>
      <w:pPr>
        <w:ind w:left="0" w:firstLine="0"/>
      </w:pPr>
    </w:lvl>
    <w:lvl w:ilvl="1" w:tplc="A06267C6">
      <w:start w:val="1"/>
      <w:numFmt w:val="bullet"/>
      <w:lvlText w:val="o"/>
      <w:lvlJc w:val="left"/>
      <w:pPr>
        <w:tabs>
          <w:tab w:val="num" w:pos="1440"/>
        </w:tabs>
        <w:ind w:left="1440" w:hanging="360"/>
      </w:pPr>
      <w:rPr>
        <w:rFonts w:ascii="Courier New" w:hAnsi="Courier New"/>
      </w:rPr>
    </w:lvl>
    <w:lvl w:ilvl="2" w:tplc="938C0016">
      <w:start w:val="1"/>
      <w:numFmt w:val="bullet"/>
      <w:lvlText w:val=""/>
      <w:lvlJc w:val="left"/>
      <w:pPr>
        <w:tabs>
          <w:tab w:val="num" w:pos="2160"/>
        </w:tabs>
        <w:ind w:left="2160" w:hanging="360"/>
      </w:pPr>
      <w:rPr>
        <w:rFonts w:ascii="Wingdings" w:hAnsi="Wingdings"/>
      </w:rPr>
    </w:lvl>
    <w:lvl w:ilvl="3" w:tplc="C05C3DD6">
      <w:start w:val="1"/>
      <w:numFmt w:val="bullet"/>
      <w:lvlText w:val=""/>
      <w:lvlJc w:val="left"/>
      <w:pPr>
        <w:tabs>
          <w:tab w:val="num" w:pos="2880"/>
        </w:tabs>
        <w:ind w:left="2880" w:hanging="360"/>
      </w:pPr>
      <w:rPr>
        <w:rFonts w:ascii="Symbol" w:hAnsi="Symbol"/>
      </w:rPr>
    </w:lvl>
    <w:lvl w:ilvl="4" w:tplc="A798E516">
      <w:start w:val="1"/>
      <w:numFmt w:val="bullet"/>
      <w:lvlText w:val="o"/>
      <w:lvlJc w:val="left"/>
      <w:pPr>
        <w:tabs>
          <w:tab w:val="num" w:pos="3600"/>
        </w:tabs>
        <w:ind w:left="3600" w:hanging="360"/>
      </w:pPr>
      <w:rPr>
        <w:rFonts w:ascii="Courier New" w:hAnsi="Courier New"/>
      </w:rPr>
    </w:lvl>
    <w:lvl w:ilvl="5" w:tplc="2D8222B0">
      <w:start w:val="1"/>
      <w:numFmt w:val="bullet"/>
      <w:lvlText w:val=""/>
      <w:lvlJc w:val="left"/>
      <w:pPr>
        <w:tabs>
          <w:tab w:val="num" w:pos="4320"/>
        </w:tabs>
        <w:ind w:left="4320" w:hanging="360"/>
      </w:pPr>
      <w:rPr>
        <w:rFonts w:ascii="Wingdings" w:hAnsi="Wingdings"/>
      </w:rPr>
    </w:lvl>
    <w:lvl w:ilvl="6" w:tplc="08889ED6">
      <w:start w:val="1"/>
      <w:numFmt w:val="bullet"/>
      <w:lvlText w:val=""/>
      <w:lvlJc w:val="left"/>
      <w:pPr>
        <w:tabs>
          <w:tab w:val="num" w:pos="5040"/>
        </w:tabs>
        <w:ind w:left="5040" w:hanging="360"/>
      </w:pPr>
      <w:rPr>
        <w:rFonts w:ascii="Symbol" w:hAnsi="Symbol"/>
      </w:rPr>
    </w:lvl>
    <w:lvl w:ilvl="7" w:tplc="23D03C8E">
      <w:start w:val="1"/>
      <w:numFmt w:val="bullet"/>
      <w:lvlText w:val="o"/>
      <w:lvlJc w:val="left"/>
      <w:pPr>
        <w:tabs>
          <w:tab w:val="num" w:pos="5760"/>
        </w:tabs>
        <w:ind w:left="5760" w:hanging="360"/>
      </w:pPr>
      <w:rPr>
        <w:rFonts w:ascii="Courier New" w:hAnsi="Courier New"/>
      </w:rPr>
    </w:lvl>
    <w:lvl w:ilvl="8" w:tplc="7BA4B3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0FE8A0A">
      <w:start w:val="1"/>
      <w:numFmt w:val="bullet"/>
      <w:lvlText w:val="-"/>
      <w:lvlJc w:val="left"/>
      <w:pPr>
        <w:ind w:left="0" w:firstLine="0"/>
      </w:pPr>
    </w:lvl>
    <w:lvl w:ilvl="1" w:tplc="1812C46C">
      <w:start w:val="1"/>
      <w:numFmt w:val="bullet"/>
      <w:lvlText w:val="o"/>
      <w:lvlJc w:val="left"/>
      <w:pPr>
        <w:ind w:left="0" w:firstLine="0"/>
      </w:pPr>
    </w:lvl>
    <w:lvl w:ilvl="2" w:tplc="01C8AEA4">
      <w:start w:val="1"/>
      <w:numFmt w:val="bullet"/>
      <w:lvlText w:val=""/>
      <w:lvlJc w:val="left"/>
      <w:pPr>
        <w:tabs>
          <w:tab w:val="num" w:pos="2160"/>
        </w:tabs>
        <w:ind w:left="2160" w:hanging="360"/>
      </w:pPr>
      <w:rPr>
        <w:rFonts w:ascii="Wingdings" w:hAnsi="Wingdings"/>
      </w:rPr>
    </w:lvl>
    <w:lvl w:ilvl="3" w:tplc="428EA110">
      <w:start w:val="1"/>
      <w:numFmt w:val="bullet"/>
      <w:lvlText w:val=""/>
      <w:lvlJc w:val="left"/>
      <w:pPr>
        <w:tabs>
          <w:tab w:val="num" w:pos="2880"/>
        </w:tabs>
        <w:ind w:left="2880" w:hanging="360"/>
      </w:pPr>
      <w:rPr>
        <w:rFonts w:ascii="Symbol" w:hAnsi="Symbol"/>
      </w:rPr>
    </w:lvl>
    <w:lvl w:ilvl="4" w:tplc="58BCA1D0">
      <w:start w:val="1"/>
      <w:numFmt w:val="bullet"/>
      <w:lvlText w:val="o"/>
      <w:lvlJc w:val="left"/>
      <w:pPr>
        <w:tabs>
          <w:tab w:val="num" w:pos="3600"/>
        </w:tabs>
        <w:ind w:left="3600" w:hanging="360"/>
      </w:pPr>
      <w:rPr>
        <w:rFonts w:ascii="Courier New" w:hAnsi="Courier New"/>
      </w:rPr>
    </w:lvl>
    <w:lvl w:ilvl="5" w:tplc="33189088">
      <w:start w:val="1"/>
      <w:numFmt w:val="bullet"/>
      <w:lvlText w:val=""/>
      <w:lvlJc w:val="left"/>
      <w:pPr>
        <w:tabs>
          <w:tab w:val="num" w:pos="4320"/>
        </w:tabs>
        <w:ind w:left="4320" w:hanging="360"/>
      </w:pPr>
      <w:rPr>
        <w:rFonts w:ascii="Wingdings" w:hAnsi="Wingdings"/>
      </w:rPr>
    </w:lvl>
    <w:lvl w:ilvl="6" w:tplc="31362BFC">
      <w:start w:val="1"/>
      <w:numFmt w:val="bullet"/>
      <w:lvlText w:val=""/>
      <w:lvlJc w:val="left"/>
      <w:pPr>
        <w:tabs>
          <w:tab w:val="num" w:pos="5040"/>
        </w:tabs>
        <w:ind w:left="5040" w:hanging="360"/>
      </w:pPr>
      <w:rPr>
        <w:rFonts w:ascii="Symbol" w:hAnsi="Symbol"/>
      </w:rPr>
    </w:lvl>
    <w:lvl w:ilvl="7" w:tplc="B9FC9178">
      <w:start w:val="1"/>
      <w:numFmt w:val="bullet"/>
      <w:lvlText w:val="o"/>
      <w:lvlJc w:val="left"/>
      <w:pPr>
        <w:tabs>
          <w:tab w:val="num" w:pos="5760"/>
        </w:tabs>
        <w:ind w:left="5760" w:hanging="360"/>
      </w:pPr>
      <w:rPr>
        <w:rFonts w:ascii="Courier New" w:hAnsi="Courier New"/>
      </w:rPr>
    </w:lvl>
    <w:lvl w:ilvl="8" w:tplc="56F8BE3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9B8C322">
      <w:start w:val="1"/>
      <w:numFmt w:val="bullet"/>
      <w:lvlText w:val=""/>
      <w:lvlJc w:val="left"/>
      <w:pPr>
        <w:ind w:left="720" w:hanging="360"/>
      </w:pPr>
      <w:rPr>
        <w:rFonts w:ascii="Symbol" w:hAnsi="Symbol"/>
        <w:b w:val="0"/>
        <w:bCs w:val="0"/>
      </w:rPr>
    </w:lvl>
    <w:lvl w:ilvl="1" w:tplc="641AAC12">
      <w:start w:val="1"/>
      <w:numFmt w:val="bullet"/>
      <w:lvlText w:val="o"/>
      <w:lvlJc w:val="left"/>
      <w:pPr>
        <w:tabs>
          <w:tab w:val="num" w:pos="1440"/>
        </w:tabs>
        <w:ind w:left="1440" w:hanging="360"/>
      </w:pPr>
      <w:rPr>
        <w:rFonts w:ascii="Courier New" w:hAnsi="Courier New"/>
      </w:rPr>
    </w:lvl>
    <w:lvl w:ilvl="2" w:tplc="BA8C1AC4">
      <w:start w:val="1"/>
      <w:numFmt w:val="bullet"/>
      <w:lvlText w:val=""/>
      <w:lvlJc w:val="left"/>
      <w:pPr>
        <w:tabs>
          <w:tab w:val="num" w:pos="2160"/>
        </w:tabs>
        <w:ind w:left="2160" w:hanging="360"/>
      </w:pPr>
      <w:rPr>
        <w:rFonts w:ascii="Wingdings" w:hAnsi="Wingdings"/>
      </w:rPr>
    </w:lvl>
    <w:lvl w:ilvl="3" w:tplc="5192CF60">
      <w:start w:val="1"/>
      <w:numFmt w:val="bullet"/>
      <w:lvlText w:val=""/>
      <w:lvlJc w:val="left"/>
      <w:pPr>
        <w:tabs>
          <w:tab w:val="num" w:pos="2880"/>
        </w:tabs>
        <w:ind w:left="2880" w:hanging="360"/>
      </w:pPr>
      <w:rPr>
        <w:rFonts w:ascii="Symbol" w:hAnsi="Symbol"/>
      </w:rPr>
    </w:lvl>
    <w:lvl w:ilvl="4" w:tplc="50FE7F78">
      <w:start w:val="1"/>
      <w:numFmt w:val="bullet"/>
      <w:lvlText w:val="o"/>
      <w:lvlJc w:val="left"/>
      <w:pPr>
        <w:tabs>
          <w:tab w:val="num" w:pos="3600"/>
        </w:tabs>
        <w:ind w:left="3600" w:hanging="360"/>
      </w:pPr>
      <w:rPr>
        <w:rFonts w:ascii="Courier New" w:hAnsi="Courier New"/>
      </w:rPr>
    </w:lvl>
    <w:lvl w:ilvl="5" w:tplc="8F8A4E6E">
      <w:start w:val="1"/>
      <w:numFmt w:val="bullet"/>
      <w:lvlText w:val=""/>
      <w:lvlJc w:val="left"/>
      <w:pPr>
        <w:tabs>
          <w:tab w:val="num" w:pos="4320"/>
        </w:tabs>
        <w:ind w:left="4320" w:hanging="360"/>
      </w:pPr>
      <w:rPr>
        <w:rFonts w:ascii="Wingdings" w:hAnsi="Wingdings"/>
      </w:rPr>
    </w:lvl>
    <w:lvl w:ilvl="6" w:tplc="23AA789C">
      <w:start w:val="1"/>
      <w:numFmt w:val="bullet"/>
      <w:lvlText w:val=""/>
      <w:lvlJc w:val="left"/>
      <w:pPr>
        <w:tabs>
          <w:tab w:val="num" w:pos="5040"/>
        </w:tabs>
        <w:ind w:left="5040" w:hanging="360"/>
      </w:pPr>
      <w:rPr>
        <w:rFonts w:ascii="Symbol" w:hAnsi="Symbol"/>
      </w:rPr>
    </w:lvl>
    <w:lvl w:ilvl="7" w:tplc="606A21A2">
      <w:start w:val="1"/>
      <w:numFmt w:val="bullet"/>
      <w:lvlText w:val="o"/>
      <w:lvlJc w:val="left"/>
      <w:pPr>
        <w:tabs>
          <w:tab w:val="num" w:pos="5760"/>
        </w:tabs>
        <w:ind w:left="5760" w:hanging="360"/>
      </w:pPr>
      <w:rPr>
        <w:rFonts w:ascii="Courier New" w:hAnsi="Courier New"/>
      </w:rPr>
    </w:lvl>
    <w:lvl w:ilvl="8" w:tplc="BA723A64">
      <w:start w:val="1"/>
      <w:numFmt w:val="bullet"/>
      <w:lvlText w:val=""/>
      <w:lvlJc w:val="left"/>
      <w:pPr>
        <w:tabs>
          <w:tab w:val="num" w:pos="6480"/>
        </w:tabs>
        <w:ind w:left="6480" w:hanging="360"/>
      </w:pPr>
      <w:rPr>
        <w:rFonts w:ascii="Wingdings" w:hAnsi="Wingdings"/>
      </w:rPr>
    </w:lvl>
  </w:abstractNum>
  <w:num w:numId="1" w16cid:durableId="709648043">
    <w:abstractNumId w:val="0"/>
  </w:num>
  <w:num w:numId="2" w16cid:durableId="711462511">
    <w:abstractNumId w:val="1"/>
  </w:num>
  <w:num w:numId="3" w16cid:durableId="1766918773">
    <w:abstractNumId w:val="2"/>
  </w:num>
  <w:num w:numId="4" w16cid:durableId="346753416">
    <w:abstractNumId w:val="3"/>
  </w:num>
  <w:num w:numId="5" w16cid:durableId="889802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06"/>
    <w:rsid w:val="001D145A"/>
    <w:rsid w:val="004F44B9"/>
    <w:rsid w:val="00595372"/>
    <w:rsid w:val="005B43B2"/>
    <w:rsid w:val="006821BF"/>
    <w:rsid w:val="00694AB5"/>
    <w:rsid w:val="008C5E6F"/>
    <w:rsid w:val="00BC7B06"/>
    <w:rsid w:val="00ED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1A87"/>
  <w15:docId w15:val="{A12EB4E2-CC8A-42D8-AFB8-D171149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Header">
    <w:name w:val="header"/>
    <w:basedOn w:val="Normal"/>
    <w:link w:val="HeaderChar"/>
    <w:uiPriority w:val="99"/>
    <w:unhideWhenUsed/>
    <w:rsid w:val="00ED374C"/>
    <w:pPr>
      <w:tabs>
        <w:tab w:val="center" w:pos="4513"/>
        <w:tab w:val="right" w:pos="9026"/>
      </w:tabs>
      <w:spacing w:line="240" w:lineRule="auto"/>
    </w:pPr>
  </w:style>
  <w:style w:type="character" w:customStyle="1" w:styleId="HeaderChar">
    <w:name w:val="Header Char"/>
    <w:basedOn w:val="DefaultParagraphFont"/>
    <w:link w:val="Header"/>
    <w:uiPriority w:val="99"/>
    <w:rsid w:val="00ED374C"/>
    <w:rPr>
      <w:rFonts w:ascii="Aptos" w:eastAsia="Aptos" w:hAnsi="Aptos" w:cs="Aptos"/>
      <w:sz w:val="24"/>
      <w:szCs w:val="24"/>
    </w:rPr>
  </w:style>
  <w:style w:type="paragraph" w:styleId="Footer">
    <w:name w:val="footer"/>
    <w:basedOn w:val="Normal"/>
    <w:link w:val="FooterChar"/>
    <w:uiPriority w:val="99"/>
    <w:unhideWhenUsed/>
    <w:rsid w:val="00ED374C"/>
    <w:pPr>
      <w:tabs>
        <w:tab w:val="center" w:pos="4513"/>
        <w:tab w:val="right" w:pos="9026"/>
      </w:tabs>
      <w:spacing w:line="240" w:lineRule="auto"/>
    </w:pPr>
  </w:style>
  <w:style w:type="character" w:customStyle="1" w:styleId="FooterChar">
    <w:name w:val="Footer Char"/>
    <w:basedOn w:val="DefaultParagraphFont"/>
    <w:link w:val="Footer"/>
    <w:uiPriority w:val="99"/>
    <w:rsid w:val="00ED374C"/>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nber.org/system/files/working_papers/w16863/w16863.pdf" TargetMode="External"/><Relationship Id="rId2" Type="http://schemas.openxmlformats.org/officeDocument/2006/relationships/hyperlink" Target="https://assets.publishing.service.gov.uk/media/685a9f35db207fc18744d608/quarterly-energy-prices-june-2025.pdf" TargetMode="External"/><Relationship Id="rId1" Type="http://schemas.openxmlformats.org/officeDocument/2006/relationships/hyperlink" Target="https://www.racfoundation.org/data/volume-petrol-diesel-consumed-uk-over-time-by-year" TargetMode="External"/><Relationship Id="rId6" Type="http://schemas.openxmlformats.org/officeDocument/2006/relationships/hyperlink" Target="https://www.ons.gov.uk/surveys/informationforhouseholdsandindividuals/householdandindividualsurveys/livingcostsandfoodsurvey" TargetMode="External"/><Relationship Id="rId5" Type="http://schemas.openxmlformats.org/officeDocument/2006/relationships/hyperlink" Target="https://www.gov.uk/government/collections/transport-statistics-great-britain" TargetMode="External"/><Relationship Id="rId4" Type="http://schemas.openxmlformats.org/officeDocument/2006/relationships/hyperlink" Target="https://assets.publishing.service.gov.uk/media/64a280e845b6a200123d46e7/Supply_of_road_fuel_in_the_United_Kingdom_market_study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Declan Pang</cp:lastModifiedBy>
  <cp:revision>7</cp:revision>
  <dcterms:created xsi:type="dcterms:W3CDTF">2025-10-10T16:08:00Z</dcterms:created>
  <dcterms:modified xsi:type="dcterms:W3CDTF">2025-10-10T16:14:00Z</dcterms:modified>
</cp:coreProperties>
</file>